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53987006"/>
        <w:docPartObj>
          <w:docPartGallery w:val="Cover Pages"/>
          <w:docPartUnique/>
        </w:docPartObj>
      </w:sdtPr>
      <w:sdtEndPr>
        <w:rPr>
          <w:b/>
          <w:bCs/>
          <w:caps/>
        </w:rPr>
      </w:sdtEndPr>
      <w:sdtContent>
        <w:p w14:paraId="54155789" w14:textId="17C82757" w:rsidR="00EB1124" w:rsidRDefault="00EB1124"/>
        <w:p w14:paraId="67081BAD" w14:textId="6BA0AE27" w:rsidR="00A504F1" w:rsidRDefault="00A504F1" w:rsidP="00A504F1">
          <w:pPr>
            <w:overflowPunct/>
            <w:autoSpaceDE/>
            <w:autoSpaceDN/>
            <w:adjustRightInd/>
            <w:ind w:left="7824" w:firstLine="1304"/>
            <w:jc w:val="left"/>
            <w:textAlignment w:val="auto"/>
            <w:rPr>
              <w:b/>
              <w:bCs/>
              <w:caps/>
            </w:rPr>
          </w:pPr>
          <w:r>
            <w:rPr>
              <w:b/>
              <w:bCs/>
              <w:caps/>
            </w:rPr>
            <w:t>2022</w:t>
          </w:r>
        </w:p>
        <w:p w14:paraId="43447C2C" w14:textId="77777777" w:rsidR="00A504F1" w:rsidRDefault="00A504F1" w:rsidP="00A504F1">
          <w:pPr>
            <w:overflowPunct/>
            <w:autoSpaceDE/>
            <w:autoSpaceDN/>
            <w:adjustRightInd/>
            <w:jc w:val="left"/>
            <w:textAlignment w:val="auto"/>
            <w:rPr>
              <w:b/>
              <w:bCs/>
              <w:caps/>
            </w:rPr>
          </w:pPr>
        </w:p>
        <w:p w14:paraId="3906114F" w14:textId="77777777" w:rsidR="00A504F1" w:rsidRDefault="00A504F1" w:rsidP="00A504F1">
          <w:pPr>
            <w:overflowPunct/>
            <w:autoSpaceDE/>
            <w:autoSpaceDN/>
            <w:adjustRightInd/>
            <w:jc w:val="left"/>
            <w:textAlignment w:val="auto"/>
            <w:rPr>
              <w:b/>
              <w:bCs/>
              <w:caps/>
            </w:rPr>
          </w:pPr>
        </w:p>
        <w:p w14:paraId="08ACF54C" w14:textId="77777777" w:rsidR="00A504F1" w:rsidRDefault="00A504F1" w:rsidP="00A504F1">
          <w:pPr>
            <w:overflowPunct/>
            <w:autoSpaceDE/>
            <w:autoSpaceDN/>
            <w:adjustRightInd/>
            <w:jc w:val="left"/>
            <w:textAlignment w:val="auto"/>
            <w:rPr>
              <w:b/>
              <w:bCs/>
              <w:caps/>
            </w:rPr>
          </w:pPr>
        </w:p>
        <w:p w14:paraId="5191998B" w14:textId="77777777" w:rsidR="00A504F1" w:rsidRDefault="00A504F1" w:rsidP="00A504F1">
          <w:pPr>
            <w:overflowPunct/>
            <w:autoSpaceDE/>
            <w:autoSpaceDN/>
            <w:adjustRightInd/>
            <w:jc w:val="left"/>
            <w:textAlignment w:val="auto"/>
            <w:rPr>
              <w:b/>
              <w:bCs/>
              <w:caps/>
            </w:rPr>
          </w:pPr>
        </w:p>
        <w:p w14:paraId="27A67DF3" w14:textId="77777777" w:rsidR="00A504F1" w:rsidRDefault="00A504F1" w:rsidP="00A504F1">
          <w:pPr>
            <w:overflowPunct/>
            <w:autoSpaceDE/>
            <w:autoSpaceDN/>
            <w:adjustRightInd/>
            <w:jc w:val="left"/>
            <w:textAlignment w:val="auto"/>
            <w:rPr>
              <w:b/>
              <w:bCs/>
              <w:caps/>
            </w:rPr>
          </w:pPr>
        </w:p>
        <w:p w14:paraId="1789922E" w14:textId="77777777" w:rsidR="00A504F1" w:rsidRDefault="00A504F1" w:rsidP="00A504F1">
          <w:pPr>
            <w:overflowPunct/>
            <w:autoSpaceDE/>
            <w:autoSpaceDN/>
            <w:adjustRightInd/>
            <w:jc w:val="left"/>
            <w:textAlignment w:val="auto"/>
            <w:rPr>
              <w:b/>
              <w:bCs/>
              <w:caps/>
            </w:rPr>
          </w:pPr>
        </w:p>
        <w:p w14:paraId="57B1AD84" w14:textId="77777777" w:rsidR="00A504F1" w:rsidRDefault="00A504F1" w:rsidP="00A504F1">
          <w:pPr>
            <w:overflowPunct/>
            <w:autoSpaceDE/>
            <w:autoSpaceDN/>
            <w:adjustRightInd/>
            <w:jc w:val="left"/>
            <w:textAlignment w:val="auto"/>
            <w:rPr>
              <w:b/>
              <w:bCs/>
              <w:caps/>
            </w:rPr>
          </w:pPr>
        </w:p>
        <w:p w14:paraId="6AC63127" w14:textId="77777777" w:rsidR="00A504F1" w:rsidRDefault="00A504F1" w:rsidP="00A504F1">
          <w:pPr>
            <w:overflowPunct/>
            <w:autoSpaceDE/>
            <w:autoSpaceDN/>
            <w:adjustRightInd/>
            <w:jc w:val="left"/>
            <w:textAlignment w:val="auto"/>
            <w:rPr>
              <w:b/>
              <w:bCs/>
              <w:caps/>
            </w:rPr>
          </w:pPr>
        </w:p>
        <w:p w14:paraId="72F28916" w14:textId="77777777" w:rsidR="00A504F1" w:rsidRDefault="00A504F1" w:rsidP="00A504F1">
          <w:pPr>
            <w:overflowPunct/>
            <w:autoSpaceDE/>
            <w:autoSpaceDN/>
            <w:adjustRightInd/>
            <w:jc w:val="left"/>
            <w:textAlignment w:val="auto"/>
            <w:rPr>
              <w:b/>
              <w:bCs/>
              <w:caps/>
            </w:rPr>
          </w:pPr>
        </w:p>
        <w:p w14:paraId="5E064916" w14:textId="77777777" w:rsidR="00A504F1" w:rsidRDefault="00A504F1" w:rsidP="00A504F1">
          <w:pPr>
            <w:overflowPunct/>
            <w:autoSpaceDE/>
            <w:autoSpaceDN/>
            <w:adjustRightInd/>
            <w:jc w:val="left"/>
            <w:textAlignment w:val="auto"/>
            <w:rPr>
              <w:b/>
              <w:bCs/>
              <w:caps/>
            </w:rPr>
          </w:pPr>
        </w:p>
        <w:p w14:paraId="4342A037" w14:textId="77777777" w:rsidR="00A504F1" w:rsidRDefault="00A504F1" w:rsidP="00A504F1">
          <w:pPr>
            <w:overflowPunct/>
            <w:autoSpaceDE/>
            <w:autoSpaceDN/>
            <w:adjustRightInd/>
            <w:jc w:val="left"/>
            <w:textAlignment w:val="auto"/>
            <w:rPr>
              <w:b/>
              <w:bCs/>
              <w:caps/>
            </w:rPr>
          </w:pPr>
        </w:p>
        <w:p w14:paraId="726D27EF" w14:textId="77777777" w:rsidR="00A504F1" w:rsidRDefault="00A504F1" w:rsidP="00A504F1">
          <w:pPr>
            <w:overflowPunct/>
            <w:autoSpaceDE/>
            <w:autoSpaceDN/>
            <w:adjustRightInd/>
            <w:jc w:val="left"/>
            <w:textAlignment w:val="auto"/>
            <w:rPr>
              <w:b/>
              <w:bCs/>
              <w:caps/>
            </w:rPr>
          </w:pPr>
        </w:p>
        <w:p w14:paraId="3E350DFC" w14:textId="77777777" w:rsidR="00A504F1" w:rsidRDefault="00A504F1" w:rsidP="00A504F1">
          <w:pPr>
            <w:overflowPunct/>
            <w:autoSpaceDE/>
            <w:autoSpaceDN/>
            <w:adjustRightInd/>
            <w:jc w:val="left"/>
            <w:textAlignment w:val="auto"/>
            <w:rPr>
              <w:b/>
              <w:bCs/>
              <w:caps/>
            </w:rPr>
          </w:pPr>
        </w:p>
        <w:p w14:paraId="340191AA" w14:textId="77777777" w:rsidR="00A504F1" w:rsidRDefault="00A504F1" w:rsidP="00A504F1">
          <w:pPr>
            <w:overflowPunct/>
            <w:autoSpaceDE/>
            <w:autoSpaceDN/>
            <w:adjustRightInd/>
            <w:jc w:val="left"/>
            <w:textAlignment w:val="auto"/>
            <w:rPr>
              <w:b/>
              <w:bCs/>
              <w:caps/>
            </w:rPr>
          </w:pPr>
        </w:p>
        <w:p w14:paraId="548A20AD" w14:textId="77777777" w:rsidR="00A504F1" w:rsidRDefault="00A504F1" w:rsidP="00A504F1">
          <w:pPr>
            <w:overflowPunct/>
            <w:autoSpaceDE/>
            <w:autoSpaceDN/>
            <w:adjustRightInd/>
            <w:jc w:val="left"/>
            <w:textAlignment w:val="auto"/>
            <w:rPr>
              <w:b/>
              <w:bCs/>
              <w:caps/>
            </w:rPr>
          </w:pPr>
        </w:p>
        <w:p w14:paraId="74AE545B" w14:textId="77777777" w:rsidR="00A504F1" w:rsidRDefault="00A504F1" w:rsidP="00A504F1">
          <w:pPr>
            <w:overflowPunct/>
            <w:autoSpaceDE/>
            <w:autoSpaceDN/>
            <w:adjustRightInd/>
            <w:jc w:val="left"/>
            <w:textAlignment w:val="auto"/>
            <w:rPr>
              <w:b/>
              <w:bCs/>
              <w:caps/>
            </w:rPr>
          </w:pPr>
        </w:p>
        <w:p w14:paraId="62CBFEAD" w14:textId="77777777" w:rsidR="00A504F1" w:rsidRDefault="00A504F1" w:rsidP="00A504F1">
          <w:pPr>
            <w:overflowPunct/>
            <w:autoSpaceDE/>
            <w:autoSpaceDN/>
            <w:adjustRightInd/>
            <w:jc w:val="left"/>
            <w:textAlignment w:val="auto"/>
            <w:rPr>
              <w:b/>
              <w:bCs/>
              <w:caps/>
            </w:rPr>
          </w:pPr>
        </w:p>
        <w:p w14:paraId="608A9474" w14:textId="1A2CE128" w:rsidR="00A504F1" w:rsidRDefault="00A504F1" w:rsidP="00A504F1">
          <w:pPr>
            <w:overflowPunct/>
            <w:autoSpaceDE/>
            <w:autoSpaceDN/>
            <w:adjustRightInd/>
            <w:jc w:val="center"/>
            <w:textAlignment w:val="auto"/>
            <w:rPr>
              <w:rStyle w:val="Otsikko1Char"/>
            </w:rPr>
          </w:pPr>
          <w:r w:rsidRPr="00A504F1">
            <w:rPr>
              <w:rStyle w:val="Otsikko1Char"/>
            </w:rPr>
            <w:t>TOIMINTA- JA TALOUSSUUNNITELMA 2023–2027</w:t>
          </w:r>
        </w:p>
        <w:p w14:paraId="7ED05A80" w14:textId="77777777" w:rsidR="00A504F1" w:rsidRDefault="00A504F1" w:rsidP="00A504F1">
          <w:pPr>
            <w:overflowPunct/>
            <w:autoSpaceDE/>
            <w:autoSpaceDN/>
            <w:adjustRightInd/>
            <w:jc w:val="center"/>
            <w:textAlignment w:val="auto"/>
            <w:rPr>
              <w:rStyle w:val="Otsikko1Char"/>
            </w:rPr>
          </w:pPr>
        </w:p>
        <w:p w14:paraId="32DD701D" w14:textId="3F6E200D" w:rsidR="00EB1124" w:rsidRDefault="00A504F1" w:rsidP="00A504F1">
          <w:pPr>
            <w:overflowPunct/>
            <w:autoSpaceDE/>
            <w:autoSpaceDN/>
            <w:adjustRightInd/>
            <w:ind w:left="3912"/>
            <w:jc w:val="center"/>
            <w:textAlignment w:val="auto"/>
          </w:pPr>
          <w:r w:rsidRPr="00A504F1">
            <w:rPr>
              <w:rStyle w:val="Otsikko1Char"/>
            </w:rPr>
            <w:t>13.10.2022</w:t>
          </w:r>
          <w:r w:rsidRPr="00A504F1">
            <w:rPr>
              <w:rStyle w:val="Otsikko1Char"/>
            </w:rPr>
            <w:tab/>
          </w:r>
          <w:r w:rsidRPr="00A504F1">
            <w:rPr>
              <w:rStyle w:val="Otsikko1Char"/>
            </w:rPr>
            <w:tab/>
          </w:r>
          <w:r w:rsidRPr="00A504F1">
            <w:rPr>
              <w:rStyle w:val="Otsikko1Char"/>
            </w:rPr>
            <w:tab/>
          </w:r>
          <w:r>
            <w:rPr>
              <w:b/>
              <w:bCs/>
              <w:caps/>
            </w:rPr>
            <w:tab/>
          </w:r>
          <w:r>
            <w:rPr>
              <w:b/>
              <w:bCs/>
              <w:caps/>
            </w:rPr>
            <w:tab/>
          </w:r>
          <w:r>
            <w:rPr>
              <w:b/>
              <w:bCs/>
              <w:caps/>
            </w:rPr>
            <w:tab/>
          </w:r>
          <w:r>
            <w:rPr>
              <w:b/>
              <w:bCs/>
              <w:caps/>
            </w:rPr>
            <w:tab/>
          </w:r>
          <w:r w:rsidR="00EB1124">
            <w:rPr>
              <w:b/>
              <w:bCs/>
              <w:caps/>
            </w:rPr>
            <w:br w:type="page"/>
          </w:r>
        </w:p>
      </w:sdtContent>
    </w:sdt>
    <w:sdt>
      <w:sdtPr>
        <w:rPr>
          <w:rFonts w:eastAsia="Times New Roman" w:cs="Times New Roman"/>
          <w:b w:val="0"/>
          <w:bCs w:val="0"/>
          <w:caps w:val="0"/>
          <w:color w:val="2B579A"/>
          <w:kern w:val="0"/>
          <w:sz w:val="22"/>
          <w:szCs w:val="20"/>
          <w:shd w:val="clear" w:color="auto" w:fill="E6E6E6"/>
        </w:rPr>
        <w:id w:val="672465701"/>
        <w:docPartObj>
          <w:docPartGallery w:val="Table of Contents"/>
          <w:docPartUnique/>
        </w:docPartObj>
      </w:sdtPr>
      <w:sdtEndPr>
        <w:rPr>
          <w:color w:val="auto"/>
        </w:rPr>
      </w:sdtEndPr>
      <w:sdtContent>
        <w:p w14:paraId="1574163F" w14:textId="7F5121BC" w:rsidR="00EB1124" w:rsidRDefault="00EB1124">
          <w:pPr>
            <w:pStyle w:val="Sisllysluettelonotsikko"/>
          </w:pPr>
          <w:r>
            <w:t>Sisällys</w:t>
          </w:r>
        </w:p>
        <w:p w14:paraId="5432186D" w14:textId="706040F7" w:rsidR="001C55E7" w:rsidRDefault="00F80C30">
          <w:pPr>
            <w:pStyle w:val="Sisluet1"/>
            <w:rPr>
              <w:rFonts w:asciiTheme="minorHAnsi" w:eastAsiaTheme="minorEastAsia" w:hAnsiTheme="minorHAnsi" w:cstheme="minorBidi"/>
              <w:noProof/>
              <w:szCs w:val="22"/>
            </w:rPr>
          </w:pPr>
          <w:r>
            <w:rPr>
              <w:color w:val="2B579A"/>
              <w:shd w:val="clear" w:color="auto" w:fill="E6E6E6"/>
            </w:rPr>
            <w:fldChar w:fldCharType="begin"/>
          </w:r>
          <w:r w:rsidR="00EB1124">
            <w:instrText>TOC \o "1-3" \h \z \u</w:instrText>
          </w:r>
          <w:r>
            <w:rPr>
              <w:color w:val="2B579A"/>
              <w:shd w:val="clear" w:color="auto" w:fill="E6E6E6"/>
            </w:rPr>
            <w:fldChar w:fldCharType="separate"/>
          </w:r>
          <w:hyperlink w:anchor="_Toc116560485" w:history="1">
            <w:r w:rsidR="001C55E7" w:rsidRPr="00FE30B8">
              <w:rPr>
                <w:rStyle w:val="Hyperlinkki"/>
                <w:noProof/>
              </w:rPr>
              <w:t>1</w:t>
            </w:r>
            <w:r w:rsidR="001C55E7">
              <w:rPr>
                <w:rFonts w:asciiTheme="minorHAnsi" w:eastAsiaTheme="minorEastAsia" w:hAnsiTheme="minorHAnsi" w:cstheme="minorBidi"/>
                <w:noProof/>
                <w:szCs w:val="22"/>
              </w:rPr>
              <w:tab/>
            </w:r>
            <w:r w:rsidR="001C55E7" w:rsidRPr="00FE30B8">
              <w:rPr>
                <w:rStyle w:val="Hyperlinkki"/>
                <w:noProof/>
              </w:rPr>
              <w:t>Verohallinnon toiminta- ja taloussuunnitelma 2023–2027</w:t>
            </w:r>
            <w:r w:rsidR="001C55E7">
              <w:rPr>
                <w:noProof/>
                <w:webHidden/>
              </w:rPr>
              <w:tab/>
            </w:r>
            <w:r w:rsidR="001C55E7">
              <w:rPr>
                <w:noProof/>
                <w:webHidden/>
              </w:rPr>
              <w:fldChar w:fldCharType="begin"/>
            </w:r>
            <w:r w:rsidR="001C55E7">
              <w:rPr>
                <w:noProof/>
                <w:webHidden/>
              </w:rPr>
              <w:instrText xml:space="preserve"> PAGEREF _Toc116560485 \h </w:instrText>
            </w:r>
            <w:r w:rsidR="001C55E7">
              <w:rPr>
                <w:noProof/>
                <w:webHidden/>
              </w:rPr>
            </w:r>
            <w:r w:rsidR="001C55E7">
              <w:rPr>
                <w:noProof/>
                <w:webHidden/>
              </w:rPr>
              <w:fldChar w:fldCharType="separate"/>
            </w:r>
            <w:r w:rsidR="00BD4DE1">
              <w:rPr>
                <w:noProof/>
                <w:webHidden/>
              </w:rPr>
              <w:t>2</w:t>
            </w:r>
            <w:r w:rsidR="001C55E7">
              <w:rPr>
                <w:noProof/>
                <w:webHidden/>
              </w:rPr>
              <w:fldChar w:fldCharType="end"/>
            </w:r>
          </w:hyperlink>
        </w:p>
        <w:p w14:paraId="20DFF66D" w14:textId="701B433E"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486" w:history="1">
            <w:r w:rsidR="001C55E7" w:rsidRPr="00FE30B8">
              <w:rPr>
                <w:rStyle w:val="Hyperlinkki"/>
                <w:noProof/>
              </w:rPr>
              <w:t>1.1</w:t>
            </w:r>
            <w:r w:rsidR="001C55E7">
              <w:rPr>
                <w:rFonts w:asciiTheme="minorHAnsi" w:eastAsiaTheme="minorEastAsia" w:hAnsiTheme="minorHAnsi" w:cstheme="minorBidi"/>
                <w:noProof/>
                <w:szCs w:val="22"/>
              </w:rPr>
              <w:tab/>
            </w:r>
            <w:r w:rsidR="001C55E7" w:rsidRPr="00FE30B8">
              <w:rPr>
                <w:rStyle w:val="Hyperlinkki"/>
                <w:noProof/>
              </w:rPr>
              <w:t>Toimintaympäristö ja ulkoiset muutostekijät</w:t>
            </w:r>
            <w:r w:rsidR="001C55E7">
              <w:rPr>
                <w:noProof/>
                <w:webHidden/>
              </w:rPr>
              <w:tab/>
            </w:r>
            <w:r w:rsidR="001C55E7">
              <w:rPr>
                <w:noProof/>
                <w:webHidden/>
              </w:rPr>
              <w:fldChar w:fldCharType="begin"/>
            </w:r>
            <w:r w:rsidR="001C55E7">
              <w:rPr>
                <w:noProof/>
                <w:webHidden/>
              </w:rPr>
              <w:instrText xml:space="preserve"> PAGEREF _Toc116560486 \h </w:instrText>
            </w:r>
            <w:r w:rsidR="001C55E7">
              <w:rPr>
                <w:noProof/>
                <w:webHidden/>
              </w:rPr>
            </w:r>
            <w:r w:rsidR="001C55E7">
              <w:rPr>
                <w:noProof/>
                <w:webHidden/>
              </w:rPr>
              <w:fldChar w:fldCharType="separate"/>
            </w:r>
            <w:r w:rsidR="00BD4DE1">
              <w:rPr>
                <w:noProof/>
                <w:webHidden/>
              </w:rPr>
              <w:t>2</w:t>
            </w:r>
            <w:r w:rsidR="001C55E7">
              <w:rPr>
                <w:noProof/>
                <w:webHidden/>
              </w:rPr>
              <w:fldChar w:fldCharType="end"/>
            </w:r>
          </w:hyperlink>
        </w:p>
        <w:p w14:paraId="4AFD6B7E" w14:textId="62AF1EAA" w:rsidR="001C55E7" w:rsidRDefault="007F3CB0">
          <w:pPr>
            <w:pStyle w:val="Sisluet1"/>
            <w:rPr>
              <w:rFonts w:asciiTheme="minorHAnsi" w:eastAsiaTheme="minorEastAsia" w:hAnsiTheme="minorHAnsi" w:cstheme="minorBidi"/>
              <w:noProof/>
              <w:szCs w:val="22"/>
            </w:rPr>
          </w:pPr>
          <w:hyperlink w:anchor="_Toc116560487" w:history="1">
            <w:r w:rsidR="001C55E7" w:rsidRPr="00FE30B8">
              <w:rPr>
                <w:rStyle w:val="Hyperlinkki"/>
                <w:noProof/>
              </w:rPr>
              <w:t>2</w:t>
            </w:r>
            <w:r w:rsidR="001C55E7">
              <w:rPr>
                <w:rFonts w:asciiTheme="minorHAnsi" w:eastAsiaTheme="minorEastAsia" w:hAnsiTheme="minorHAnsi" w:cstheme="minorBidi"/>
                <w:noProof/>
                <w:szCs w:val="22"/>
              </w:rPr>
              <w:tab/>
            </w:r>
            <w:r w:rsidR="001C55E7" w:rsidRPr="00FE30B8">
              <w:rPr>
                <w:rStyle w:val="Hyperlinkki"/>
                <w:noProof/>
              </w:rPr>
              <w:t>Verohallinnon tulossopimusmittaristo</w:t>
            </w:r>
            <w:r w:rsidR="001C55E7">
              <w:rPr>
                <w:noProof/>
                <w:webHidden/>
              </w:rPr>
              <w:tab/>
            </w:r>
            <w:r w:rsidR="001C55E7">
              <w:rPr>
                <w:noProof/>
                <w:webHidden/>
              </w:rPr>
              <w:fldChar w:fldCharType="begin"/>
            </w:r>
            <w:r w:rsidR="001C55E7">
              <w:rPr>
                <w:noProof/>
                <w:webHidden/>
              </w:rPr>
              <w:instrText xml:space="preserve"> PAGEREF _Toc116560487 \h </w:instrText>
            </w:r>
            <w:r w:rsidR="001C55E7">
              <w:rPr>
                <w:noProof/>
                <w:webHidden/>
              </w:rPr>
            </w:r>
            <w:r w:rsidR="001C55E7">
              <w:rPr>
                <w:noProof/>
                <w:webHidden/>
              </w:rPr>
              <w:fldChar w:fldCharType="separate"/>
            </w:r>
            <w:r w:rsidR="00BD4DE1">
              <w:rPr>
                <w:noProof/>
                <w:webHidden/>
              </w:rPr>
              <w:t>5</w:t>
            </w:r>
            <w:r w:rsidR="001C55E7">
              <w:rPr>
                <w:noProof/>
                <w:webHidden/>
              </w:rPr>
              <w:fldChar w:fldCharType="end"/>
            </w:r>
          </w:hyperlink>
        </w:p>
        <w:p w14:paraId="7711ADF1" w14:textId="52A6EA7B" w:rsidR="001C55E7" w:rsidRDefault="007F3CB0">
          <w:pPr>
            <w:pStyle w:val="Sisluet1"/>
            <w:rPr>
              <w:rFonts w:asciiTheme="minorHAnsi" w:eastAsiaTheme="minorEastAsia" w:hAnsiTheme="minorHAnsi" w:cstheme="minorBidi"/>
              <w:noProof/>
              <w:szCs w:val="22"/>
            </w:rPr>
          </w:pPr>
          <w:hyperlink w:anchor="_Toc116560488" w:history="1">
            <w:r w:rsidR="001C55E7" w:rsidRPr="00FE30B8">
              <w:rPr>
                <w:rStyle w:val="Hyperlinkki"/>
                <w:noProof/>
              </w:rPr>
              <w:t>3</w:t>
            </w:r>
            <w:r w:rsidR="001C55E7">
              <w:rPr>
                <w:rFonts w:asciiTheme="minorHAnsi" w:eastAsiaTheme="minorEastAsia" w:hAnsiTheme="minorHAnsi" w:cstheme="minorBidi"/>
                <w:noProof/>
                <w:szCs w:val="22"/>
              </w:rPr>
              <w:tab/>
            </w:r>
            <w:r w:rsidR="001C55E7" w:rsidRPr="00FE30B8">
              <w:rPr>
                <w:rStyle w:val="Hyperlinkki"/>
                <w:noProof/>
              </w:rPr>
              <w:t>Kehittäminen suunnittelukaudella 2023-2027</w:t>
            </w:r>
            <w:r w:rsidR="001C55E7">
              <w:rPr>
                <w:noProof/>
                <w:webHidden/>
              </w:rPr>
              <w:tab/>
            </w:r>
            <w:r w:rsidR="001C55E7">
              <w:rPr>
                <w:noProof/>
                <w:webHidden/>
              </w:rPr>
              <w:fldChar w:fldCharType="begin"/>
            </w:r>
            <w:r w:rsidR="001C55E7">
              <w:rPr>
                <w:noProof/>
                <w:webHidden/>
              </w:rPr>
              <w:instrText xml:space="preserve"> PAGEREF _Toc116560488 \h </w:instrText>
            </w:r>
            <w:r w:rsidR="001C55E7">
              <w:rPr>
                <w:noProof/>
                <w:webHidden/>
              </w:rPr>
            </w:r>
            <w:r w:rsidR="001C55E7">
              <w:rPr>
                <w:noProof/>
                <w:webHidden/>
              </w:rPr>
              <w:fldChar w:fldCharType="separate"/>
            </w:r>
            <w:r w:rsidR="00BD4DE1">
              <w:rPr>
                <w:noProof/>
                <w:webHidden/>
              </w:rPr>
              <w:t>6</w:t>
            </w:r>
            <w:r w:rsidR="001C55E7">
              <w:rPr>
                <w:noProof/>
                <w:webHidden/>
              </w:rPr>
              <w:fldChar w:fldCharType="end"/>
            </w:r>
          </w:hyperlink>
        </w:p>
        <w:p w14:paraId="7C4AE956" w14:textId="51ACF4F4"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489" w:history="1">
            <w:r w:rsidR="001C55E7" w:rsidRPr="00FE30B8">
              <w:rPr>
                <w:rStyle w:val="Hyperlinkki"/>
                <w:noProof/>
              </w:rPr>
              <w:t>3.1</w:t>
            </w:r>
            <w:r w:rsidR="001C55E7">
              <w:rPr>
                <w:rFonts w:asciiTheme="minorHAnsi" w:eastAsiaTheme="minorEastAsia" w:hAnsiTheme="minorHAnsi" w:cstheme="minorBidi"/>
                <w:noProof/>
                <w:szCs w:val="22"/>
              </w:rPr>
              <w:tab/>
            </w:r>
            <w:r w:rsidR="001C55E7" w:rsidRPr="00FE30B8">
              <w:rPr>
                <w:rStyle w:val="Hyperlinkki"/>
                <w:noProof/>
              </w:rPr>
              <w:t>Kehittämisen resurssien kohdentuminen</w:t>
            </w:r>
            <w:r w:rsidR="001C55E7">
              <w:rPr>
                <w:noProof/>
                <w:webHidden/>
              </w:rPr>
              <w:tab/>
            </w:r>
            <w:r w:rsidR="001C55E7">
              <w:rPr>
                <w:noProof/>
                <w:webHidden/>
              </w:rPr>
              <w:fldChar w:fldCharType="begin"/>
            </w:r>
            <w:r w:rsidR="001C55E7">
              <w:rPr>
                <w:noProof/>
                <w:webHidden/>
              </w:rPr>
              <w:instrText xml:space="preserve"> PAGEREF _Toc116560489 \h </w:instrText>
            </w:r>
            <w:r w:rsidR="001C55E7">
              <w:rPr>
                <w:noProof/>
                <w:webHidden/>
              </w:rPr>
            </w:r>
            <w:r w:rsidR="001C55E7">
              <w:rPr>
                <w:noProof/>
                <w:webHidden/>
              </w:rPr>
              <w:fldChar w:fldCharType="separate"/>
            </w:r>
            <w:r w:rsidR="00BD4DE1">
              <w:rPr>
                <w:noProof/>
                <w:webHidden/>
              </w:rPr>
              <w:t>6</w:t>
            </w:r>
            <w:r w:rsidR="001C55E7">
              <w:rPr>
                <w:noProof/>
                <w:webHidden/>
              </w:rPr>
              <w:fldChar w:fldCharType="end"/>
            </w:r>
          </w:hyperlink>
        </w:p>
        <w:p w14:paraId="60E692EF" w14:textId="2E065EA2"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490" w:history="1">
            <w:r w:rsidR="001C55E7" w:rsidRPr="00FE30B8">
              <w:rPr>
                <w:rStyle w:val="Hyperlinkki"/>
                <w:noProof/>
              </w:rPr>
              <w:t>3.2</w:t>
            </w:r>
            <w:r w:rsidR="001C55E7">
              <w:rPr>
                <w:rFonts w:asciiTheme="minorHAnsi" w:eastAsiaTheme="minorEastAsia" w:hAnsiTheme="minorHAnsi" w:cstheme="minorBidi"/>
                <w:noProof/>
                <w:szCs w:val="22"/>
              </w:rPr>
              <w:tab/>
            </w:r>
            <w:r w:rsidR="001C55E7" w:rsidRPr="00FE30B8">
              <w:rPr>
                <w:rStyle w:val="Hyperlinkki"/>
                <w:noProof/>
              </w:rPr>
              <w:t>Pakolliset ulkoa tulevat muutokset</w:t>
            </w:r>
            <w:r w:rsidR="001C55E7">
              <w:rPr>
                <w:noProof/>
                <w:webHidden/>
              </w:rPr>
              <w:tab/>
            </w:r>
            <w:r w:rsidR="001C55E7">
              <w:rPr>
                <w:noProof/>
                <w:webHidden/>
              </w:rPr>
              <w:fldChar w:fldCharType="begin"/>
            </w:r>
            <w:r w:rsidR="001C55E7">
              <w:rPr>
                <w:noProof/>
                <w:webHidden/>
              </w:rPr>
              <w:instrText xml:space="preserve"> PAGEREF _Toc116560490 \h </w:instrText>
            </w:r>
            <w:r w:rsidR="001C55E7">
              <w:rPr>
                <w:noProof/>
                <w:webHidden/>
              </w:rPr>
            </w:r>
            <w:r w:rsidR="001C55E7">
              <w:rPr>
                <w:noProof/>
                <w:webHidden/>
              </w:rPr>
              <w:fldChar w:fldCharType="separate"/>
            </w:r>
            <w:r w:rsidR="00BD4DE1">
              <w:rPr>
                <w:noProof/>
                <w:webHidden/>
              </w:rPr>
              <w:t>7</w:t>
            </w:r>
            <w:r w:rsidR="001C55E7">
              <w:rPr>
                <w:noProof/>
                <w:webHidden/>
              </w:rPr>
              <w:fldChar w:fldCharType="end"/>
            </w:r>
          </w:hyperlink>
        </w:p>
        <w:p w14:paraId="089FBD0F" w14:textId="72064EC4"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491" w:history="1">
            <w:r w:rsidR="001C55E7" w:rsidRPr="00FE30B8">
              <w:rPr>
                <w:rStyle w:val="Hyperlinkki"/>
                <w:noProof/>
              </w:rPr>
              <w:t>3.3</w:t>
            </w:r>
            <w:r w:rsidR="001C55E7">
              <w:rPr>
                <w:rFonts w:asciiTheme="minorHAnsi" w:eastAsiaTheme="minorEastAsia" w:hAnsiTheme="minorHAnsi" w:cstheme="minorBidi"/>
                <w:noProof/>
                <w:szCs w:val="22"/>
              </w:rPr>
              <w:tab/>
            </w:r>
            <w:r w:rsidR="001C55E7" w:rsidRPr="00FE30B8">
              <w:rPr>
                <w:rStyle w:val="Hyperlinkki"/>
                <w:noProof/>
              </w:rPr>
              <w:t>Toimintavarmuutta ylläpitävät teknologiset muutokset</w:t>
            </w:r>
            <w:r w:rsidR="001C55E7">
              <w:rPr>
                <w:noProof/>
                <w:webHidden/>
              </w:rPr>
              <w:tab/>
            </w:r>
            <w:r w:rsidR="001C55E7">
              <w:rPr>
                <w:noProof/>
                <w:webHidden/>
              </w:rPr>
              <w:fldChar w:fldCharType="begin"/>
            </w:r>
            <w:r w:rsidR="001C55E7">
              <w:rPr>
                <w:noProof/>
                <w:webHidden/>
              </w:rPr>
              <w:instrText xml:space="preserve"> PAGEREF _Toc116560491 \h </w:instrText>
            </w:r>
            <w:r w:rsidR="001C55E7">
              <w:rPr>
                <w:noProof/>
                <w:webHidden/>
              </w:rPr>
            </w:r>
            <w:r w:rsidR="001C55E7">
              <w:rPr>
                <w:noProof/>
                <w:webHidden/>
              </w:rPr>
              <w:fldChar w:fldCharType="separate"/>
            </w:r>
            <w:r w:rsidR="00BD4DE1">
              <w:rPr>
                <w:noProof/>
                <w:webHidden/>
              </w:rPr>
              <w:t>8</w:t>
            </w:r>
            <w:r w:rsidR="001C55E7">
              <w:rPr>
                <w:noProof/>
                <w:webHidden/>
              </w:rPr>
              <w:fldChar w:fldCharType="end"/>
            </w:r>
          </w:hyperlink>
        </w:p>
        <w:p w14:paraId="7324A0F1" w14:textId="20139759"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492" w:history="1">
            <w:r w:rsidR="001C55E7" w:rsidRPr="00FE30B8">
              <w:rPr>
                <w:rStyle w:val="Hyperlinkki"/>
                <w:noProof/>
              </w:rPr>
              <w:t>3.4</w:t>
            </w:r>
            <w:r w:rsidR="001C55E7">
              <w:rPr>
                <w:rFonts w:asciiTheme="minorHAnsi" w:eastAsiaTheme="minorEastAsia" w:hAnsiTheme="minorHAnsi" w:cstheme="minorBidi"/>
                <w:noProof/>
                <w:szCs w:val="22"/>
              </w:rPr>
              <w:tab/>
            </w:r>
            <w:r w:rsidR="001C55E7" w:rsidRPr="00FE30B8">
              <w:rPr>
                <w:rStyle w:val="Hyperlinkki"/>
                <w:noProof/>
              </w:rPr>
              <w:t>Merkittävimmät strategiset muutoskohteet</w:t>
            </w:r>
            <w:r w:rsidR="001C55E7">
              <w:rPr>
                <w:noProof/>
                <w:webHidden/>
              </w:rPr>
              <w:tab/>
            </w:r>
            <w:r w:rsidR="001C55E7">
              <w:rPr>
                <w:noProof/>
                <w:webHidden/>
              </w:rPr>
              <w:fldChar w:fldCharType="begin"/>
            </w:r>
            <w:r w:rsidR="001C55E7">
              <w:rPr>
                <w:noProof/>
                <w:webHidden/>
              </w:rPr>
              <w:instrText xml:space="preserve"> PAGEREF _Toc116560492 \h </w:instrText>
            </w:r>
            <w:r w:rsidR="001C55E7">
              <w:rPr>
                <w:noProof/>
                <w:webHidden/>
              </w:rPr>
            </w:r>
            <w:r w:rsidR="001C55E7">
              <w:rPr>
                <w:noProof/>
                <w:webHidden/>
              </w:rPr>
              <w:fldChar w:fldCharType="separate"/>
            </w:r>
            <w:r w:rsidR="00BD4DE1">
              <w:rPr>
                <w:noProof/>
                <w:webHidden/>
              </w:rPr>
              <w:t>9</w:t>
            </w:r>
            <w:r w:rsidR="001C55E7">
              <w:rPr>
                <w:noProof/>
                <w:webHidden/>
              </w:rPr>
              <w:fldChar w:fldCharType="end"/>
            </w:r>
          </w:hyperlink>
        </w:p>
        <w:p w14:paraId="5F3F3C1A" w14:textId="2029E6FE"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493" w:history="1">
            <w:r w:rsidR="001C55E7" w:rsidRPr="00FE30B8">
              <w:rPr>
                <w:rStyle w:val="Hyperlinkki"/>
                <w:noProof/>
              </w:rPr>
              <w:t>3.5</w:t>
            </w:r>
            <w:r w:rsidR="001C55E7">
              <w:rPr>
                <w:rFonts w:asciiTheme="minorHAnsi" w:eastAsiaTheme="minorEastAsia" w:hAnsiTheme="minorHAnsi" w:cstheme="minorBidi"/>
                <w:noProof/>
                <w:szCs w:val="22"/>
              </w:rPr>
              <w:tab/>
            </w:r>
            <w:r w:rsidR="001C55E7" w:rsidRPr="00FE30B8">
              <w:rPr>
                <w:rStyle w:val="Hyperlinkki"/>
                <w:noProof/>
              </w:rPr>
              <w:t>Muut strategiset muutoskohteet</w:t>
            </w:r>
            <w:r w:rsidR="001C55E7">
              <w:rPr>
                <w:noProof/>
                <w:webHidden/>
              </w:rPr>
              <w:tab/>
            </w:r>
            <w:r w:rsidR="001C55E7">
              <w:rPr>
                <w:noProof/>
                <w:webHidden/>
              </w:rPr>
              <w:fldChar w:fldCharType="begin"/>
            </w:r>
            <w:r w:rsidR="001C55E7">
              <w:rPr>
                <w:noProof/>
                <w:webHidden/>
              </w:rPr>
              <w:instrText xml:space="preserve"> PAGEREF _Toc116560493 \h </w:instrText>
            </w:r>
            <w:r w:rsidR="001C55E7">
              <w:rPr>
                <w:noProof/>
                <w:webHidden/>
              </w:rPr>
            </w:r>
            <w:r w:rsidR="001C55E7">
              <w:rPr>
                <w:noProof/>
                <w:webHidden/>
              </w:rPr>
              <w:fldChar w:fldCharType="separate"/>
            </w:r>
            <w:r w:rsidR="00BD4DE1">
              <w:rPr>
                <w:noProof/>
                <w:webHidden/>
              </w:rPr>
              <w:t>10</w:t>
            </w:r>
            <w:r w:rsidR="001C55E7">
              <w:rPr>
                <w:noProof/>
                <w:webHidden/>
              </w:rPr>
              <w:fldChar w:fldCharType="end"/>
            </w:r>
          </w:hyperlink>
        </w:p>
        <w:p w14:paraId="17F1A9B5" w14:textId="53A6D1BA" w:rsidR="001C55E7" w:rsidRDefault="007F3CB0">
          <w:pPr>
            <w:pStyle w:val="Sisluet1"/>
            <w:rPr>
              <w:rFonts w:asciiTheme="minorHAnsi" w:eastAsiaTheme="minorEastAsia" w:hAnsiTheme="minorHAnsi" w:cstheme="minorBidi"/>
              <w:noProof/>
              <w:szCs w:val="22"/>
            </w:rPr>
          </w:pPr>
          <w:hyperlink w:anchor="_Toc116560494" w:history="1">
            <w:r w:rsidR="001C55E7" w:rsidRPr="00FE30B8">
              <w:rPr>
                <w:rStyle w:val="Hyperlinkki"/>
                <w:noProof/>
              </w:rPr>
              <w:t>4</w:t>
            </w:r>
            <w:r w:rsidR="001C55E7">
              <w:rPr>
                <w:rFonts w:asciiTheme="minorHAnsi" w:eastAsiaTheme="minorEastAsia" w:hAnsiTheme="minorHAnsi" w:cstheme="minorBidi"/>
                <w:noProof/>
                <w:szCs w:val="22"/>
              </w:rPr>
              <w:tab/>
            </w:r>
            <w:r w:rsidR="001C55E7" w:rsidRPr="00FE30B8">
              <w:rPr>
                <w:rStyle w:val="Hyperlinkki"/>
                <w:noProof/>
              </w:rPr>
              <w:t>Verohallinnon voimavarat</w:t>
            </w:r>
            <w:r w:rsidR="001C55E7">
              <w:rPr>
                <w:noProof/>
                <w:webHidden/>
              </w:rPr>
              <w:tab/>
            </w:r>
            <w:r w:rsidR="001C55E7">
              <w:rPr>
                <w:noProof/>
                <w:webHidden/>
              </w:rPr>
              <w:fldChar w:fldCharType="begin"/>
            </w:r>
            <w:r w:rsidR="001C55E7">
              <w:rPr>
                <w:noProof/>
                <w:webHidden/>
              </w:rPr>
              <w:instrText xml:space="preserve"> PAGEREF _Toc116560494 \h </w:instrText>
            </w:r>
            <w:r w:rsidR="001C55E7">
              <w:rPr>
                <w:noProof/>
                <w:webHidden/>
              </w:rPr>
            </w:r>
            <w:r w:rsidR="001C55E7">
              <w:rPr>
                <w:noProof/>
                <w:webHidden/>
              </w:rPr>
              <w:fldChar w:fldCharType="separate"/>
            </w:r>
            <w:r w:rsidR="00BD4DE1">
              <w:rPr>
                <w:noProof/>
                <w:webHidden/>
              </w:rPr>
              <w:t>11</w:t>
            </w:r>
            <w:r w:rsidR="001C55E7">
              <w:rPr>
                <w:noProof/>
                <w:webHidden/>
              </w:rPr>
              <w:fldChar w:fldCharType="end"/>
            </w:r>
          </w:hyperlink>
        </w:p>
        <w:p w14:paraId="2D084CB0" w14:textId="48F2BAD6"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495" w:history="1">
            <w:r w:rsidR="001C55E7" w:rsidRPr="00FE30B8">
              <w:rPr>
                <w:rStyle w:val="Hyperlinkki"/>
                <w:noProof/>
              </w:rPr>
              <w:t>4.1</w:t>
            </w:r>
            <w:r w:rsidR="001C55E7">
              <w:rPr>
                <w:rFonts w:asciiTheme="minorHAnsi" w:eastAsiaTheme="minorEastAsia" w:hAnsiTheme="minorHAnsi" w:cstheme="minorBidi"/>
                <w:noProof/>
                <w:szCs w:val="22"/>
              </w:rPr>
              <w:tab/>
            </w:r>
            <w:r w:rsidR="001C55E7" w:rsidRPr="00FE30B8">
              <w:rPr>
                <w:rStyle w:val="Hyperlinkki"/>
                <w:noProof/>
              </w:rPr>
              <w:t>Viraston käytettävissä olevat resurssit</w:t>
            </w:r>
            <w:r w:rsidR="001C55E7">
              <w:rPr>
                <w:noProof/>
                <w:webHidden/>
              </w:rPr>
              <w:tab/>
            </w:r>
            <w:r w:rsidR="001C55E7">
              <w:rPr>
                <w:noProof/>
                <w:webHidden/>
              </w:rPr>
              <w:fldChar w:fldCharType="begin"/>
            </w:r>
            <w:r w:rsidR="001C55E7">
              <w:rPr>
                <w:noProof/>
                <w:webHidden/>
              </w:rPr>
              <w:instrText xml:space="preserve"> PAGEREF _Toc116560495 \h </w:instrText>
            </w:r>
            <w:r w:rsidR="001C55E7">
              <w:rPr>
                <w:noProof/>
                <w:webHidden/>
              </w:rPr>
            </w:r>
            <w:r w:rsidR="001C55E7">
              <w:rPr>
                <w:noProof/>
                <w:webHidden/>
              </w:rPr>
              <w:fldChar w:fldCharType="separate"/>
            </w:r>
            <w:r w:rsidR="00BD4DE1">
              <w:rPr>
                <w:noProof/>
                <w:webHidden/>
              </w:rPr>
              <w:t>11</w:t>
            </w:r>
            <w:r w:rsidR="001C55E7">
              <w:rPr>
                <w:noProof/>
                <w:webHidden/>
              </w:rPr>
              <w:fldChar w:fldCharType="end"/>
            </w:r>
          </w:hyperlink>
        </w:p>
        <w:p w14:paraId="3272BDCD" w14:textId="679B1383" w:rsidR="001C55E7" w:rsidRDefault="007F3CB0">
          <w:pPr>
            <w:pStyle w:val="Sisluet3"/>
            <w:tabs>
              <w:tab w:val="left" w:pos="1321"/>
              <w:tab w:val="right" w:leader="dot" w:pos="9742"/>
            </w:tabs>
            <w:rPr>
              <w:rFonts w:asciiTheme="minorHAnsi" w:eastAsiaTheme="minorEastAsia" w:hAnsiTheme="minorHAnsi" w:cstheme="minorBidi"/>
              <w:noProof/>
              <w:szCs w:val="22"/>
            </w:rPr>
          </w:pPr>
          <w:hyperlink w:anchor="_Toc116560496" w:history="1">
            <w:r w:rsidR="001C55E7" w:rsidRPr="00FE30B8">
              <w:rPr>
                <w:rStyle w:val="Hyperlinkki"/>
                <w:noProof/>
              </w:rPr>
              <w:t>4.1.1</w:t>
            </w:r>
            <w:r w:rsidR="001C55E7">
              <w:rPr>
                <w:rFonts w:asciiTheme="minorHAnsi" w:eastAsiaTheme="minorEastAsia" w:hAnsiTheme="minorHAnsi" w:cstheme="minorBidi"/>
                <w:noProof/>
                <w:szCs w:val="22"/>
              </w:rPr>
              <w:tab/>
            </w:r>
            <w:r w:rsidR="001C55E7" w:rsidRPr="00FE30B8">
              <w:rPr>
                <w:rStyle w:val="Hyperlinkki"/>
                <w:noProof/>
              </w:rPr>
              <w:t>Yhteenveto verotustoiminnan kehyssuunnitelmasta</w:t>
            </w:r>
            <w:r w:rsidR="001C55E7">
              <w:rPr>
                <w:noProof/>
                <w:webHidden/>
              </w:rPr>
              <w:tab/>
            </w:r>
            <w:r w:rsidR="001C55E7">
              <w:rPr>
                <w:noProof/>
                <w:webHidden/>
              </w:rPr>
              <w:fldChar w:fldCharType="begin"/>
            </w:r>
            <w:r w:rsidR="001C55E7">
              <w:rPr>
                <w:noProof/>
                <w:webHidden/>
              </w:rPr>
              <w:instrText xml:space="preserve"> PAGEREF _Toc116560496 \h </w:instrText>
            </w:r>
            <w:r w:rsidR="001C55E7">
              <w:rPr>
                <w:noProof/>
                <w:webHidden/>
              </w:rPr>
            </w:r>
            <w:r w:rsidR="001C55E7">
              <w:rPr>
                <w:noProof/>
                <w:webHidden/>
              </w:rPr>
              <w:fldChar w:fldCharType="separate"/>
            </w:r>
            <w:r w:rsidR="00BD4DE1">
              <w:rPr>
                <w:noProof/>
                <w:webHidden/>
              </w:rPr>
              <w:t>11</w:t>
            </w:r>
            <w:r w:rsidR="001C55E7">
              <w:rPr>
                <w:noProof/>
                <w:webHidden/>
              </w:rPr>
              <w:fldChar w:fldCharType="end"/>
            </w:r>
          </w:hyperlink>
        </w:p>
        <w:p w14:paraId="76E82E59" w14:textId="4CCF324B" w:rsidR="001C55E7" w:rsidRDefault="007F3CB0">
          <w:pPr>
            <w:pStyle w:val="Sisluet3"/>
            <w:tabs>
              <w:tab w:val="left" w:pos="1321"/>
              <w:tab w:val="right" w:leader="dot" w:pos="9742"/>
            </w:tabs>
            <w:rPr>
              <w:rFonts w:asciiTheme="minorHAnsi" w:eastAsiaTheme="minorEastAsia" w:hAnsiTheme="minorHAnsi" w:cstheme="minorBidi"/>
              <w:noProof/>
              <w:szCs w:val="22"/>
            </w:rPr>
          </w:pPr>
          <w:hyperlink w:anchor="_Toc116560497" w:history="1">
            <w:r w:rsidR="001C55E7" w:rsidRPr="00FE30B8">
              <w:rPr>
                <w:rStyle w:val="Hyperlinkki"/>
                <w:noProof/>
              </w:rPr>
              <w:t>4.1.2</w:t>
            </w:r>
            <w:r w:rsidR="001C55E7">
              <w:rPr>
                <w:rFonts w:asciiTheme="minorHAnsi" w:eastAsiaTheme="minorEastAsia" w:hAnsiTheme="minorHAnsi" w:cstheme="minorBidi"/>
                <w:noProof/>
                <w:szCs w:val="22"/>
              </w:rPr>
              <w:tab/>
            </w:r>
            <w:r w:rsidR="001C55E7" w:rsidRPr="00FE30B8">
              <w:rPr>
                <w:rStyle w:val="Hyperlinkki"/>
                <w:noProof/>
              </w:rPr>
              <w:t>Yhteenveto tulorekisteritoiminnan kehyssuunnitelmasta</w:t>
            </w:r>
            <w:r w:rsidR="001C55E7">
              <w:rPr>
                <w:noProof/>
                <w:webHidden/>
              </w:rPr>
              <w:tab/>
            </w:r>
            <w:r w:rsidR="001C55E7">
              <w:rPr>
                <w:noProof/>
                <w:webHidden/>
              </w:rPr>
              <w:fldChar w:fldCharType="begin"/>
            </w:r>
            <w:r w:rsidR="001C55E7">
              <w:rPr>
                <w:noProof/>
                <w:webHidden/>
              </w:rPr>
              <w:instrText xml:space="preserve"> PAGEREF _Toc116560497 \h </w:instrText>
            </w:r>
            <w:r w:rsidR="001C55E7">
              <w:rPr>
                <w:noProof/>
                <w:webHidden/>
              </w:rPr>
            </w:r>
            <w:r w:rsidR="001C55E7">
              <w:rPr>
                <w:noProof/>
                <w:webHidden/>
              </w:rPr>
              <w:fldChar w:fldCharType="separate"/>
            </w:r>
            <w:r w:rsidR="00BD4DE1">
              <w:rPr>
                <w:noProof/>
                <w:webHidden/>
              </w:rPr>
              <w:t>12</w:t>
            </w:r>
            <w:r w:rsidR="001C55E7">
              <w:rPr>
                <w:noProof/>
                <w:webHidden/>
              </w:rPr>
              <w:fldChar w:fldCharType="end"/>
            </w:r>
          </w:hyperlink>
        </w:p>
        <w:p w14:paraId="4446F41C" w14:textId="1C56C935" w:rsidR="001C55E7" w:rsidRDefault="007F3CB0">
          <w:pPr>
            <w:pStyle w:val="Sisluet3"/>
            <w:tabs>
              <w:tab w:val="left" w:pos="1321"/>
              <w:tab w:val="right" w:leader="dot" w:pos="9742"/>
            </w:tabs>
            <w:rPr>
              <w:rFonts w:asciiTheme="minorHAnsi" w:eastAsiaTheme="minorEastAsia" w:hAnsiTheme="minorHAnsi" w:cstheme="minorBidi"/>
              <w:noProof/>
              <w:szCs w:val="22"/>
            </w:rPr>
          </w:pPr>
          <w:hyperlink w:anchor="_Toc116560498" w:history="1">
            <w:r w:rsidR="001C55E7" w:rsidRPr="00FE30B8">
              <w:rPr>
                <w:rStyle w:val="Hyperlinkki"/>
                <w:noProof/>
              </w:rPr>
              <w:t>4.1.3</w:t>
            </w:r>
            <w:r w:rsidR="001C55E7">
              <w:rPr>
                <w:rFonts w:asciiTheme="minorHAnsi" w:eastAsiaTheme="minorEastAsia" w:hAnsiTheme="minorHAnsi" w:cstheme="minorBidi"/>
                <w:noProof/>
                <w:szCs w:val="22"/>
              </w:rPr>
              <w:tab/>
            </w:r>
            <w:r w:rsidR="001C55E7" w:rsidRPr="00FE30B8">
              <w:rPr>
                <w:rStyle w:val="Hyperlinkki"/>
                <w:noProof/>
              </w:rPr>
              <w:t>Yhteenveto positiivisen luottotietorekisterin investointihankkeesta</w:t>
            </w:r>
            <w:r w:rsidR="001C55E7">
              <w:rPr>
                <w:noProof/>
                <w:webHidden/>
              </w:rPr>
              <w:tab/>
            </w:r>
            <w:r w:rsidR="001C55E7">
              <w:rPr>
                <w:noProof/>
                <w:webHidden/>
              </w:rPr>
              <w:fldChar w:fldCharType="begin"/>
            </w:r>
            <w:r w:rsidR="001C55E7">
              <w:rPr>
                <w:noProof/>
                <w:webHidden/>
              </w:rPr>
              <w:instrText xml:space="preserve"> PAGEREF _Toc116560498 \h </w:instrText>
            </w:r>
            <w:r w:rsidR="001C55E7">
              <w:rPr>
                <w:noProof/>
                <w:webHidden/>
              </w:rPr>
            </w:r>
            <w:r w:rsidR="001C55E7">
              <w:rPr>
                <w:noProof/>
                <w:webHidden/>
              </w:rPr>
              <w:fldChar w:fldCharType="separate"/>
            </w:r>
            <w:r w:rsidR="00BD4DE1">
              <w:rPr>
                <w:noProof/>
                <w:webHidden/>
              </w:rPr>
              <w:t>12</w:t>
            </w:r>
            <w:r w:rsidR="001C55E7">
              <w:rPr>
                <w:noProof/>
                <w:webHidden/>
              </w:rPr>
              <w:fldChar w:fldCharType="end"/>
            </w:r>
          </w:hyperlink>
        </w:p>
        <w:p w14:paraId="710F9FAD" w14:textId="4E54FC67"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499" w:history="1">
            <w:r w:rsidR="001C55E7" w:rsidRPr="00FE30B8">
              <w:rPr>
                <w:rStyle w:val="Hyperlinkki"/>
                <w:noProof/>
              </w:rPr>
              <w:t>4.2</w:t>
            </w:r>
            <w:r w:rsidR="001C55E7">
              <w:rPr>
                <w:rFonts w:asciiTheme="minorHAnsi" w:eastAsiaTheme="minorEastAsia" w:hAnsiTheme="minorHAnsi" w:cstheme="minorBidi"/>
                <w:noProof/>
                <w:szCs w:val="22"/>
              </w:rPr>
              <w:tab/>
            </w:r>
            <w:r w:rsidR="001C55E7" w:rsidRPr="00FE30B8">
              <w:rPr>
                <w:rStyle w:val="Hyperlinkki"/>
                <w:noProof/>
              </w:rPr>
              <w:t>Verohallinnon henkilötyövuosikehitys kehyskaudella</w:t>
            </w:r>
            <w:r w:rsidR="001C55E7">
              <w:rPr>
                <w:noProof/>
                <w:webHidden/>
              </w:rPr>
              <w:tab/>
            </w:r>
            <w:r w:rsidR="001C55E7">
              <w:rPr>
                <w:noProof/>
                <w:webHidden/>
              </w:rPr>
              <w:fldChar w:fldCharType="begin"/>
            </w:r>
            <w:r w:rsidR="001C55E7">
              <w:rPr>
                <w:noProof/>
                <w:webHidden/>
              </w:rPr>
              <w:instrText xml:space="preserve"> PAGEREF _Toc116560499 \h </w:instrText>
            </w:r>
            <w:r w:rsidR="001C55E7">
              <w:rPr>
                <w:noProof/>
                <w:webHidden/>
              </w:rPr>
            </w:r>
            <w:r w:rsidR="001C55E7">
              <w:rPr>
                <w:noProof/>
                <w:webHidden/>
              </w:rPr>
              <w:fldChar w:fldCharType="separate"/>
            </w:r>
            <w:r w:rsidR="00BD4DE1">
              <w:rPr>
                <w:noProof/>
                <w:webHidden/>
              </w:rPr>
              <w:t>13</w:t>
            </w:r>
            <w:r w:rsidR="001C55E7">
              <w:rPr>
                <w:noProof/>
                <w:webHidden/>
              </w:rPr>
              <w:fldChar w:fldCharType="end"/>
            </w:r>
          </w:hyperlink>
        </w:p>
        <w:p w14:paraId="7F6D90F4" w14:textId="6B5AA6BD"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500" w:history="1">
            <w:r w:rsidR="001C55E7" w:rsidRPr="00FE30B8">
              <w:rPr>
                <w:rStyle w:val="Hyperlinkki"/>
                <w:noProof/>
              </w:rPr>
              <w:t>4.3</w:t>
            </w:r>
            <w:r w:rsidR="001C55E7">
              <w:rPr>
                <w:rFonts w:asciiTheme="minorHAnsi" w:eastAsiaTheme="minorEastAsia" w:hAnsiTheme="minorHAnsi" w:cstheme="minorBidi"/>
                <w:noProof/>
                <w:szCs w:val="22"/>
              </w:rPr>
              <w:tab/>
            </w:r>
            <w:r w:rsidR="001C55E7" w:rsidRPr="00FE30B8">
              <w:rPr>
                <w:rStyle w:val="Hyperlinkki"/>
                <w:noProof/>
              </w:rPr>
              <w:t>Strateginen henkilöstösuunnittelu</w:t>
            </w:r>
            <w:r w:rsidR="001C55E7">
              <w:rPr>
                <w:noProof/>
                <w:webHidden/>
              </w:rPr>
              <w:tab/>
            </w:r>
            <w:r w:rsidR="001C55E7">
              <w:rPr>
                <w:noProof/>
                <w:webHidden/>
              </w:rPr>
              <w:fldChar w:fldCharType="begin"/>
            </w:r>
            <w:r w:rsidR="001C55E7">
              <w:rPr>
                <w:noProof/>
                <w:webHidden/>
              </w:rPr>
              <w:instrText xml:space="preserve"> PAGEREF _Toc116560500 \h </w:instrText>
            </w:r>
            <w:r w:rsidR="001C55E7">
              <w:rPr>
                <w:noProof/>
                <w:webHidden/>
              </w:rPr>
            </w:r>
            <w:r w:rsidR="001C55E7">
              <w:rPr>
                <w:noProof/>
                <w:webHidden/>
              </w:rPr>
              <w:fldChar w:fldCharType="separate"/>
            </w:r>
            <w:r w:rsidR="00BD4DE1">
              <w:rPr>
                <w:noProof/>
                <w:webHidden/>
              </w:rPr>
              <w:t>14</w:t>
            </w:r>
            <w:r w:rsidR="001C55E7">
              <w:rPr>
                <w:noProof/>
                <w:webHidden/>
              </w:rPr>
              <w:fldChar w:fldCharType="end"/>
            </w:r>
          </w:hyperlink>
        </w:p>
        <w:p w14:paraId="295ECA11" w14:textId="2ACC7ED5" w:rsidR="001C55E7" w:rsidRDefault="007F3CB0">
          <w:pPr>
            <w:pStyle w:val="Sisluet2"/>
            <w:tabs>
              <w:tab w:val="left" w:pos="879"/>
              <w:tab w:val="right" w:leader="dot" w:pos="9742"/>
            </w:tabs>
            <w:rPr>
              <w:rFonts w:asciiTheme="minorHAnsi" w:eastAsiaTheme="minorEastAsia" w:hAnsiTheme="minorHAnsi" w:cstheme="minorBidi"/>
              <w:noProof/>
              <w:szCs w:val="22"/>
            </w:rPr>
          </w:pPr>
          <w:hyperlink w:anchor="_Toc116560501" w:history="1">
            <w:r w:rsidR="001C55E7" w:rsidRPr="00FE30B8">
              <w:rPr>
                <w:rStyle w:val="Hyperlinkki"/>
                <w:noProof/>
              </w:rPr>
              <w:t>4.4</w:t>
            </w:r>
            <w:r w:rsidR="001C55E7">
              <w:rPr>
                <w:rFonts w:asciiTheme="minorHAnsi" w:eastAsiaTheme="minorEastAsia" w:hAnsiTheme="minorHAnsi" w:cstheme="minorBidi"/>
                <w:noProof/>
                <w:szCs w:val="22"/>
              </w:rPr>
              <w:tab/>
            </w:r>
            <w:r w:rsidR="001C55E7" w:rsidRPr="00FE30B8">
              <w:rPr>
                <w:rStyle w:val="Hyperlinkki"/>
                <w:noProof/>
              </w:rPr>
              <w:t>Henkilöstöjohtamisen ja työntekijäkokemuksen kehittäminen</w:t>
            </w:r>
            <w:r w:rsidR="001C55E7">
              <w:rPr>
                <w:noProof/>
                <w:webHidden/>
              </w:rPr>
              <w:tab/>
            </w:r>
            <w:r w:rsidR="001C55E7">
              <w:rPr>
                <w:noProof/>
                <w:webHidden/>
              </w:rPr>
              <w:fldChar w:fldCharType="begin"/>
            </w:r>
            <w:r w:rsidR="001C55E7">
              <w:rPr>
                <w:noProof/>
                <w:webHidden/>
              </w:rPr>
              <w:instrText xml:space="preserve"> PAGEREF _Toc116560501 \h </w:instrText>
            </w:r>
            <w:r w:rsidR="001C55E7">
              <w:rPr>
                <w:noProof/>
                <w:webHidden/>
              </w:rPr>
            </w:r>
            <w:r w:rsidR="001C55E7">
              <w:rPr>
                <w:noProof/>
                <w:webHidden/>
              </w:rPr>
              <w:fldChar w:fldCharType="separate"/>
            </w:r>
            <w:r w:rsidR="00BD4DE1">
              <w:rPr>
                <w:noProof/>
                <w:webHidden/>
              </w:rPr>
              <w:t>14</w:t>
            </w:r>
            <w:r w:rsidR="001C55E7">
              <w:rPr>
                <w:noProof/>
                <w:webHidden/>
              </w:rPr>
              <w:fldChar w:fldCharType="end"/>
            </w:r>
          </w:hyperlink>
        </w:p>
        <w:p w14:paraId="7B6D4BD9" w14:textId="347AB788" w:rsidR="00975B41" w:rsidRDefault="00F80C30" w:rsidP="00985ACB">
          <w:pPr>
            <w:pStyle w:val="Sisluet1"/>
            <w:rPr>
              <w:noProof/>
              <w:szCs w:val="22"/>
            </w:rPr>
          </w:pPr>
          <w:r>
            <w:rPr>
              <w:shd w:val="clear" w:color="auto" w:fill="E6E6E6"/>
            </w:rPr>
            <w:fldChar w:fldCharType="end"/>
          </w:r>
        </w:p>
      </w:sdtContent>
    </w:sdt>
    <w:p w14:paraId="21863A0B" w14:textId="1664094D" w:rsidR="00EB1124" w:rsidRDefault="00EB1124"/>
    <w:p w14:paraId="4BC667BF" w14:textId="77777777" w:rsidR="00EB1124" w:rsidRDefault="00EB1124">
      <w:pPr>
        <w:overflowPunct/>
        <w:autoSpaceDE/>
        <w:autoSpaceDN/>
        <w:adjustRightInd/>
        <w:jc w:val="left"/>
        <w:textAlignment w:val="auto"/>
        <w:rPr>
          <w:rFonts w:eastAsiaTheme="majorEastAsia" w:cs="Arial"/>
          <w:b/>
          <w:bCs/>
          <w:caps/>
          <w:sz w:val="26"/>
        </w:rPr>
      </w:pPr>
      <w:r>
        <w:br w:type="page"/>
      </w:r>
    </w:p>
    <w:p w14:paraId="582A9B3E" w14:textId="49429E1E" w:rsidR="0056430D" w:rsidRDefault="00293069" w:rsidP="00F46629">
      <w:pPr>
        <w:pStyle w:val="Otsikko1"/>
      </w:pPr>
      <w:bookmarkStart w:id="0" w:name="_Toc116560485"/>
      <w:r>
        <w:lastRenderedPageBreak/>
        <w:t xml:space="preserve">Verohallinnon toiminta- ja taloussuunnitelma </w:t>
      </w:r>
      <w:r w:rsidR="00EB0A99">
        <w:t>2023–2027</w:t>
      </w:r>
      <w:bookmarkEnd w:id="0"/>
    </w:p>
    <w:p w14:paraId="7E8CE8F7" w14:textId="02A6543F" w:rsidR="00EB1124" w:rsidRDefault="00F46629" w:rsidP="00F46629">
      <w:r>
        <w:t xml:space="preserve">Verohallinnon </w:t>
      </w:r>
      <w:r w:rsidR="00EB0A99">
        <w:t xml:space="preserve">toiminta- ja taloussuunnitelma (TTS) on viraston </w:t>
      </w:r>
      <w:r>
        <w:t xml:space="preserve">sisäinen keskipitkän aikavälin suunnitelma, jossa </w:t>
      </w:r>
      <w:r w:rsidR="00EB0A99">
        <w:t>määritellään toiminnan ja talouden suuntaviivat suunnit</w:t>
      </w:r>
      <w:r w:rsidR="00196182">
        <w:t>t</w:t>
      </w:r>
      <w:r w:rsidR="00EB0A99">
        <w:t>e</w:t>
      </w:r>
      <w:r w:rsidR="00846C4B">
        <w:t>lu</w:t>
      </w:r>
      <w:r w:rsidR="00EB0A99">
        <w:t xml:space="preserve">kaudelle 2023–2027. </w:t>
      </w:r>
      <w:r>
        <w:t xml:space="preserve"> </w:t>
      </w:r>
      <w:r w:rsidR="00EB0A99">
        <w:t>Suunnitelma</w:t>
      </w:r>
      <w:r>
        <w:t xml:space="preserve"> laaditaan vuosittain ja </w:t>
      </w:r>
      <w:r w:rsidR="00D57D56">
        <w:t>se</w:t>
      </w:r>
      <w:r>
        <w:t xml:space="preserve"> pohjautuu voimassa olevaan </w:t>
      </w:r>
      <w:r w:rsidRPr="00F92254">
        <w:t>Verohallinnon strategiaan</w:t>
      </w:r>
      <w:r>
        <w:t xml:space="preserve">, jossa on määritelty Verohallinnon keskeiset tavoitteet sekä kehittämisen painopisteet, joiden avulla tavoitteisiin päästään. </w:t>
      </w:r>
    </w:p>
    <w:p w14:paraId="452656CA" w14:textId="77777777" w:rsidR="00D57D56" w:rsidRDefault="00D57D56" w:rsidP="00F46629"/>
    <w:p w14:paraId="2B82C685" w14:textId="296FAA47" w:rsidR="00F46629" w:rsidRDefault="00F46629" w:rsidP="00F46629">
      <w:r>
        <w:t xml:space="preserve">Johto arvioi strategian ajantasaisuutta puolivuosittain ennakointitietoon pohjautuen ja tarvittaessa päättää, miltä osin strategiaa tulee päivittää. Luvussa 1.1. on kuvattu tärkeimmät tunnistetut ulkoiset muutostekijät, joita vasten strategiaa on arvioitu ja jotka on huomioitu virastotasoisia suunnitelmia laadittaessa. Verohallinnon </w:t>
      </w:r>
      <w:r w:rsidR="005D63DD">
        <w:t>tulos</w:t>
      </w:r>
      <w:r w:rsidR="00E92CCD">
        <w:t>sopimusmittaristo</w:t>
      </w:r>
      <w:r>
        <w:t xml:space="preserve"> </w:t>
      </w:r>
      <w:r w:rsidR="0009096B">
        <w:t>on kuvattu</w:t>
      </w:r>
      <w:r>
        <w:t xml:space="preserve"> luvu</w:t>
      </w:r>
      <w:r w:rsidR="0009096B">
        <w:t>ssa</w:t>
      </w:r>
      <w:r>
        <w:t xml:space="preserve"> 2</w:t>
      </w:r>
      <w:r w:rsidR="002D426A">
        <w:t xml:space="preserve"> ja l</w:t>
      </w:r>
      <w:r>
        <w:t xml:space="preserve">uvussa </w:t>
      </w:r>
      <w:r w:rsidR="00D57D56">
        <w:t>3</w:t>
      </w:r>
      <w:r>
        <w:t xml:space="preserve"> kuvataan tarkemmin suunnittelukauden tavoitteita ja </w:t>
      </w:r>
      <w:r w:rsidR="00D57D56">
        <w:t>kehittämis</w:t>
      </w:r>
      <w:r>
        <w:t xml:space="preserve">toimenpiteitä, joilla tavoitteisiin päästään. Viimeisessä </w:t>
      </w:r>
      <w:r w:rsidRPr="00566D3B">
        <w:t xml:space="preserve">luvussa </w:t>
      </w:r>
      <w:r w:rsidR="00E571CB">
        <w:t>4</w:t>
      </w:r>
      <w:r>
        <w:t xml:space="preserve"> käsitellään Verohallinnon käytettävissä olevia voimavaroja</w:t>
      </w:r>
      <w:r w:rsidR="00E571CB">
        <w:t>.</w:t>
      </w:r>
    </w:p>
    <w:p w14:paraId="39B3F2D6" w14:textId="4777CB51" w:rsidR="00D77291" w:rsidRDefault="00D77291" w:rsidP="00F46629"/>
    <w:p w14:paraId="6F5B4CC2" w14:textId="3BB6BBBF" w:rsidR="00D77291" w:rsidRDefault="00D77291" w:rsidP="00D77291">
      <w:pPr>
        <w:rPr>
          <w:rStyle w:val="normaltextrun"/>
          <w:rFonts w:eastAsiaTheme="majorEastAsia" w:cs="Arial"/>
          <w:color w:val="000000"/>
          <w:szCs w:val="22"/>
        </w:rPr>
      </w:pPr>
      <w:r>
        <w:rPr>
          <w:rStyle w:val="normaltextrun"/>
          <w:rFonts w:eastAsiaTheme="majorEastAsia" w:cs="Arial"/>
          <w:color w:val="000000"/>
          <w:szCs w:val="22"/>
        </w:rPr>
        <w:t>Hallituksen vaihtuminen vuonna 2023 tuo omat haasteensa keskipitkän aikavälin suunnittelulle: osa suunnitelluista kehittämistoimenpiteistä vaatii poliittista päätöksentekoa, minkä vuoksi niiden toteutuminen</w:t>
      </w:r>
      <w:r w:rsidR="006B546D">
        <w:rPr>
          <w:rStyle w:val="normaltextrun"/>
          <w:rFonts w:eastAsiaTheme="majorEastAsia" w:cs="Arial"/>
          <w:color w:val="000000"/>
          <w:szCs w:val="22"/>
        </w:rPr>
        <w:t xml:space="preserve"> ja ajoittuminen</w:t>
      </w:r>
      <w:r>
        <w:rPr>
          <w:rStyle w:val="normaltextrun"/>
          <w:rFonts w:eastAsiaTheme="majorEastAsia" w:cs="Arial"/>
          <w:color w:val="000000"/>
          <w:szCs w:val="22"/>
        </w:rPr>
        <w:t xml:space="preserve"> ovat vielä tässä vaiheessa epävarmoja.</w:t>
      </w:r>
    </w:p>
    <w:p w14:paraId="7608DED9" w14:textId="0F1DD840" w:rsidR="00DB22D9" w:rsidRPr="00537563" w:rsidRDefault="00EB1124" w:rsidP="00452C76">
      <w:pPr>
        <w:pStyle w:val="Otsikko2"/>
        <w:rPr>
          <w:rStyle w:val="normaltextrun"/>
        </w:rPr>
      </w:pPr>
      <w:bookmarkStart w:id="1" w:name="_Toc85206896"/>
      <w:bookmarkStart w:id="2" w:name="_Toc116560486"/>
      <w:r>
        <w:t>Toimintaympäristö ja ulkoiset muutostekijät</w:t>
      </w:r>
      <w:bookmarkEnd w:id="1"/>
      <w:bookmarkEnd w:id="2"/>
    </w:p>
    <w:p w14:paraId="5B3A95F5" w14:textId="71B6347F" w:rsidR="0015557D" w:rsidRPr="00BD1394" w:rsidRDefault="00EB1124" w:rsidP="00452C76">
      <w:pPr>
        <w:rPr>
          <w:rStyle w:val="normaltextrun"/>
          <w:rFonts w:eastAsiaTheme="majorEastAsia" w:cs="Arial"/>
          <w:szCs w:val="22"/>
        </w:rPr>
      </w:pPr>
      <w:bookmarkStart w:id="3" w:name="_Hlk115799974"/>
      <w:r w:rsidRPr="00BD1394">
        <w:rPr>
          <w:rStyle w:val="normaltextrun"/>
          <w:rFonts w:eastAsiaTheme="majorEastAsia" w:cs="Arial"/>
          <w:szCs w:val="22"/>
        </w:rPr>
        <w:t xml:space="preserve">Ulkoinen toimintaympäristö ja siinä tapahtuvat muutokset vaikuttavat merkittävästi Verohallinnon toimintaan ja sitä kautta toiminnan </w:t>
      </w:r>
      <w:r w:rsidR="004D1A99" w:rsidRPr="00BD1394">
        <w:rPr>
          <w:rStyle w:val="normaltextrun"/>
          <w:rFonts w:eastAsiaTheme="majorEastAsia" w:cs="Arial"/>
          <w:szCs w:val="22"/>
        </w:rPr>
        <w:t xml:space="preserve">ja talouden </w:t>
      </w:r>
      <w:r w:rsidRPr="00BD1394">
        <w:rPr>
          <w:rStyle w:val="normaltextrun"/>
          <w:rFonts w:eastAsiaTheme="majorEastAsia" w:cs="Arial"/>
          <w:szCs w:val="22"/>
        </w:rPr>
        <w:t xml:space="preserve">suunnitteluun. </w:t>
      </w:r>
      <w:r w:rsidR="0015557D" w:rsidRPr="00BD1394">
        <w:rPr>
          <w:rStyle w:val="normaltextrun"/>
          <w:rFonts w:eastAsiaTheme="majorEastAsia" w:cs="Arial"/>
          <w:szCs w:val="22"/>
        </w:rPr>
        <w:t xml:space="preserve">Toimintaympäristöä seurataan Verohallinnossa osana jatkuvaa ennakointitoimintaa, </w:t>
      </w:r>
      <w:r w:rsidR="006B546D" w:rsidRPr="00BD1394">
        <w:rPr>
          <w:rStyle w:val="normaltextrun"/>
          <w:rFonts w:eastAsiaTheme="majorEastAsia" w:cs="Arial"/>
          <w:szCs w:val="22"/>
        </w:rPr>
        <w:t>jotta muutoksiin pystytään</w:t>
      </w:r>
      <w:r w:rsidR="0015557D" w:rsidRPr="00BD1394">
        <w:rPr>
          <w:rStyle w:val="normaltextrun"/>
          <w:rFonts w:eastAsiaTheme="majorEastAsia" w:cs="Arial"/>
          <w:szCs w:val="22"/>
        </w:rPr>
        <w:t xml:space="preserve"> varautumaan</w:t>
      </w:r>
      <w:r w:rsidR="006B546D" w:rsidRPr="00BD1394">
        <w:rPr>
          <w:rStyle w:val="normaltextrun"/>
          <w:rFonts w:eastAsiaTheme="majorEastAsia" w:cs="Arial"/>
          <w:szCs w:val="22"/>
        </w:rPr>
        <w:t xml:space="preserve"> ja vaikuttamaan jo etukäteen.</w:t>
      </w:r>
    </w:p>
    <w:p w14:paraId="6734B31C" w14:textId="77777777" w:rsidR="0015557D" w:rsidRPr="00BD1394" w:rsidRDefault="0015557D" w:rsidP="00452C76">
      <w:pPr>
        <w:rPr>
          <w:rStyle w:val="normaltextrun"/>
          <w:rFonts w:eastAsiaTheme="majorEastAsia" w:cs="Arial"/>
          <w:szCs w:val="22"/>
        </w:rPr>
      </w:pPr>
    </w:p>
    <w:p w14:paraId="7069F7B1" w14:textId="4429EC8E" w:rsidR="00EB1124" w:rsidRPr="00BD1394" w:rsidRDefault="00EB1124" w:rsidP="00452C76">
      <w:pPr>
        <w:rPr>
          <w:rStyle w:val="normaltextrun"/>
          <w:rFonts w:eastAsiaTheme="majorEastAsia" w:cs="Arial"/>
          <w:szCs w:val="22"/>
        </w:rPr>
      </w:pPr>
      <w:r w:rsidRPr="00BD1394">
        <w:rPr>
          <w:rStyle w:val="normaltextrun"/>
          <w:rFonts w:eastAsiaTheme="majorEastAsia" w:cs="Arial"/>
          <w:szCs w:val="22"/>
        </w:rPr>
        <w:t>Verohallinnon kannalta merkittävimmät ulkoisen toimintaympäristön tunnistetut muutosalueet ovat: </w:t>
      </w:r>
    </w:p>
    <w:p w14:paraId="7F85DBF8" w14:textId="77777777" w:rsidR="00EB1124" w:rsidRPr="00BD1394" w:rsidRDefault="00EB1124" w:rsidP="00452C76"/>
    <w:p w14:paraId="2C503EBB" w14:textId="77777777" w:rsidR="00EB1124" w:rsidRPr="00BD1394" w:rsidRDefault="00EB1124" w:rsidP="00DF1B1C">
      <w:pPr>
        <w:pStyle w:val="Luettelokappale"/>
        <w:numPr>
          <w:ilvl w:val="0"/>
          <w:numId w:val="4"/>
        </w:numPr>
      </w:pPr>
      <w:r w:rsidRPr="00BD1394">
        <w:rPr>
          <w:rStyle w:val="normaltextrun"/>
          <w:rFonts w:eastAsiaTheme="majorEastAsia" w:cs="Arial"/>
          <w:szCs w:val="22"/>
        </w:rPr>
        <w:t>Globaalit poliittiset ja taloudelliset muutokset</w:t>
      </w:r>
      <w:r w:rsidRPr="00BD1394">
        <w:rPr>
          <w:rStyle w:val="eop"/>
          <w:rFonts w:cs="Arial"/>
          <w:szCs w:val="22"/>
        </w:rPr>
        <w:t> </w:t>
      </w:r>
    </w:p>
    <w:p w14:paraId="1D836879" w14:textId="77777777" w:rsidR="00EB1124" w:rsidRPr="00BD1394" w:rsidRDefault="00EB1124" w:rsidP="00DF1B1C">
      <w:pPr>
        <w:pStyle w:val="Luettelokappale"/>
        <w:numPr>
          <w:ilvl w:val="0"/>
          <w:numId w:val="4"/>
        </w:numPr>
      </w:pPr>
      <w:r w:rsidRPr="00BD1394">
        <w:rPr>
          <w:rStyle w:val="normaltextrun"/>
          <w:rFonts w:eastAsiaTheme="majorEastAsia" w:cs="Arial"/>
          <w:szCs w:val="22"/>
        </w:rPr>
        <w:t>Yritystoiminnan ja ansainnan muutokset</w:t>
      </w:r>
      <w:r w:rsidRPr="00BD1394">
        <w:rPr>
          <w:rStyle w:val="eop"/>
          <w:rFonts w:cs="Arial"/>
          <w:szCs w:val="22"/>
        </w:rPr>
        <w:t> </w:t>
      </w:r>
    </w:p>
    <w:p w14:paraId="554BA9F2" w14:textId="77777777" w:rsidR="00EB1124" w:rsidRPr="00BD1394" w:rsidRDefault="00EB1124" w:rsidP="00DF1B1C">
      <w:pPr>
        <w:pStyle w:val="Luettelokappale"/>
        <w:numPr>
          <w:ilvl w:val="0"/>
          <w:numId w:val="4"/>
        </w:numPr>
      </w:pPr>
      <w:r w:rsidRPr="00BD1394">
        <w:rPr>
          <w:rStyle w:val="normaltextrun"/>
          <w:rFonts w:eastAsiaTheme="majorEastAsia" w:cs="Arial"/>
          <w:szCs w:val="22"/>
        </w:rPr>
        <w:t>Teknologian muutokset</w:t>
      </w:r>
      <w:r w:rsidRPr="00BD1394">
        <w:rPr>
          <w:rStyle w:val="eop"/>
          <w:rFonts w:cs="Arial"/>
          <w:szCs w:val="22"/>
        </w:rPr>
        <w:t> </w:t>
      </w:r>
    </w:p>
    <w:p w14:paraId="52C38766" w14:textId="3BCB8CF2" w:rsidR="00EB1124" w:rsidRPr="00BD1394" w:rsidRDefault="00EB1124" w:rsidP="00DF1B1C">
      <w:pPr>
        <w:pStyle w:val="Luettelokappale"/>
        <w:numPr>
          <w:ilvl w:val="0"/>
          <w:numId w:val="4"/>
        </w:numPr>
        <w:rPr>
          <w:rStyle w:val="normaltextrun"/>
          <w:rFonts w:eastAsiaTheme="majorEastAsia" w:cs="Arial"/>
          <w:szCs w:val="22"/>
        </w:rPr>
      </w:pPr>
      <w:r w:rsidRPr="00BD1394">
        <w:rPr>
          <w:rStyle w:val="normaltextrun"/>
          <w:rFonts w:eastAsiaTheme="majorEastAsia" w:cs="Arial"/>
          <w:szCs w:val="22"/>
        </w:rPr>
        <w:t xml:space="preserve">Suomen </w:t>
      </w:r>
      <w:r w:rsidR="005A2645" w:rsidRPr="00BD1394">
        <w:rPr>
          <w:rStyle w:val="normaltextrun"/>
          <w:rFonts w:eastAsiaTheme="majorEastAsia" w:cs="Arial"/>
          <w:szCs w:val="22"/>
        </w:rPr>
        <w:t>talous</w:t>
      </w:r>
      <w:r w:rsidR="005A5AF2" w:rsidRPr="00BD1394">
        <w:rPr>
          <w:rStyle w:val="normaltextrun"/>
          <w:rFonts w:eastAsiaTheme="majorEastAsia" w:cs="Arial"/>
          <w:szCs w:val="22"/>
        </w:rPr>
        <w:t>,</w:t>
      </w:r>
      <w:r w:rsidR="005A2645" w:rsidRPr="00BD1394">
        <w:rPr>
          <w:rStyle w:val="normaltextrun"/>
          <w:rFonts w:eastAsiaTheme="majorEastAsia" w:cs="Arial"/>
          <w:szCs w:val="22"/>
        </w:rPr>
        <w:t xml:space="preserve"> </w:t>
      </w:r>
      <w:r w:rsidRPr="00BD1394">
        <w:rPr>
          <w:rStyle w:val="normaltextrun"/>
          <w:rFonts w:eastAsiaTheme="majorEastAsia" w:cs="Arial"/>
          <w:szCs w:val="22"/>
        </w:rPr>
        <w:t>yhteiskunnalliset muutokset</w:t>
      </w:r>
      <w:r w:rsidR="005A5AF2" w:rsidRPr="00BD1394">
        <w:rPr>
          <w:rStyle w:val="normaltextrun"/>
          <w:rFonts w:eastAsiaTheme="majorEastAsia" w:cs="Arial"/>
          <w:szCs w:val="22"/>
        </w:rPr>
        <w:t xml:space="preserve"> ja julkinen sektori</w:t>
      </w:r>
    </w:p>
    <w:p w14:paraId="322E2FC5" w14:textId="77777777" w:rsidR="00EB1124" w:rsidRPr="00BD1394" w:rsidRDefault="00EB1124" w:rsidP="00DF1B1C">
      <w:pPr>
        <w:pStyle w:val="Luettelokappale"/>
        <w:numPr>
          <w:ilvl w:val="0"/>
          <w:numId w:val="4"/>
        </w:numPr>
      </w:pPr>
      <w:r w:rsidRPr="00BD1394">
        <w:rPr>
          <w:rStyle w:val="normaltextrun"/>
          <w:rFonts w:eastAsiaTheme="majorEastAsia" w:cs="Arial"/>
          <w:szCs w:val="22"/>
        </w:rPr>
        <w:t>Työn ja osaamisen muutokset</w:t>
      </w:r>
      <w:r w:rsidRPr="00BD1394">
        <w:rPr>
          <w:rStyle w:val="eop"/>
          <w:rFonts w:cs="Arial"/>
          <w:szCs w:val="22"/>
        </w:rPr>
        <w:t> </w:t>
      </w:r>
    </w:p>
    <w:p w14:paraId="30EB58A2" w14:textId="77777777" w:rsidR="00EB1124" w:rsidRDefault="00EB1124" w:rsidP="00452C76">
      <w:pPr>
        <w:rPr>
          <w:rStyle w:val="normaltextrun"/>
          <w:rFonts w:eastAsiaTheme="majorEastAsia" w:cs="Arial"/>
          <w:color w:val="000000"/>
          <w:szCs w:val="22"/>
        </w:rPr>
      </w:pPr>
    </w:p>
    <w:p w14:paraId="2078BE13" w14:textId="3D9AE128" w:rsidR="003A7D7F" w:rsidRDefault="002212A8" w:rsidP="005A73A2">
      <w:pPr>
        <w:rPr>
          <w:rStyle w:val="normaltextrun"/>
          <w:rFonts w:eastAsiaTheme="majorEastAsia" w:cs="Arial"/>
          <w:color w:val="000000"/>
          <w:szCs w:val="22"/>
        </w:rPr>
      </w:pPr>
      <w:r w:rsidRPr="00593564">
        <w:rPr>
          <w:rStyle w:val="normaltextrun"/>
          <w:rFonts w:eastAsiaTheme="majorEastAsia" w:cs="Arial"/>
          <w:color w:val="000000"/>
          <w:szCs w:val="22"/>
        </w:rPr>
        <w:t xml:space="preserve">Venäjän sota Ukrainassa heijastuu globaalina epävarmuutena kaikkiin maanosiin. </w:t>
      </w:r>
      <w:r w:rsidR="00EB1124">
        <w:rPr>
          <w:rStyle w:val="normaltextrun"/>
          <w:rFonts w:eastAsiaTheme="majorEastAsia" w:cs="Arial"/>
          <w:color w:val="000000"/>
          <w:szCs w:val="22"/>
        </w:rPr>
        <w:t>Vuo</w:t>
      </w:r>
      <w:r w:rsidR="00E571CB">
        <w:rPr>
          <w:rStyle w:val="normaltextrun"/>
          <w:rFonts w:eastAsiaTheme="majorEastAsia" w:cs="Arial"/>
          <w:color w:val="000000"/>
          <w:szCs w:val="22"/>
        </w:rPr>
        <w:t>den 2022 helmikuussa alkan</w:t>
      </w:r>
      <w:r w:rsidR="002707C0">
        <w:rPr>
          <w:rStyle w:val="normaltextrun"/>
          <w:rFonts w:eastAsiaTheme="majorEastAsia" w:cs="Arial"/>
          <w:color w:val="000000"/>
          <w:szCs w:val="22"/>
        </w:rPr>
        <w:t>ut sota</w:t>
      </w:r>
      <w:r w:rsidR="00E571CB">
        <w:rPr>
          <w:rStyle w:val="normaltextrun"/>
          <w:rFonts w:eastAsiaTheme="majorEastAsia" w:cs="Arial"/>
          <w:color w:val="000000"/>
          <w:szCs w:val="22"/>
        </w:rPr>
        <w:t xml:space="preserve"> </w:t>
      </w:r>
      <w:r w:rsidR="0053242B">
        <w:rPr>
          <w:rStyle w:val="normaltextrun"/>
          <w:rFonts w:eastAsiaTheme="majorEastAsia" w:cs="Arial"/>
          <w:color w:val="000000"/>
          <w:szCs w:val="22"/>
        </w:rPr>
        <w:t>vaikut</w:t>
      </w:r>
      <w:r w:rsidR="002707C0">
        <w:rPr>
          <w:rStyle w:val="normaltextrun"/>
          <w:rFonts w:eastAsiaTheme="majorEastAsia" w:cs="Arial"/>
          <w:color w:val="000000"/>
          <w:szCs w:val="22"/>
        </w:rPr>
        <w:t>taa</w:t>
      </w:r>
      <w:r>
        <w:rPr>
          <w:rStyle w:val="normaltextrun"/>
          <w:rFonts w:eastAsiaTheme="majorEastAsia" w:cs="Arial"/>
          <w:color w:val="000000"/>
          <w:szCs w:val="22"/>
        </w:rPr>
        <w:t xml:space="preserve"> </w:t>
      </w:r>
      <w:r w:rsidR="00713DFF">
        <w:rPr>
          <w:rStyle w:val="normaltextrun"/>
          <w:rFonts w:eastAsiaTheme="majorEastAsia" w:cs="Arial"/>
          <w:color w:val="000000"/>
          <w:szCs w:val="22"/>
        </w:rPr>
        <w:t>erityisesti Euroopan maihin</w:t>
      </w:r>
      <w:r w:rsidR="00465393">
        <w:rPr>
          <w:rStyle w:val="normaltextrun"/>
          <w:rFonts w:eastAsiaTheme="majorEastAsia" w:cs="Arial"/>
          <w:color w:val="000000"/>
          <w:szCs w:val="22"/>
        </w:rPr>
        <w:t>, mutta välillise</w:t>
      </w:r>
      <w:r w:rsidR="000B2559">
        <w:rPr>
          <w:rStyle w:val="normaltextrun"/>
          <w:rFonts w:eastAsiaTheme="majorEastAsia" w:cs="Arial"/>
          <w:color w:val="000000"/>
          <w:szCs w:val="22"/>
        </w:rPr>
        <w:t>t</w:t>
      </w:r>
      <w:r w:rsidR="00465393">
        <w:rPr>
          <w:rStyle w:val="normaltextrun"/>
          <w:rFonts w:eastAsiaTheme="majorEastAsia" w:cs="Arial"/>
          <w:color w:val="000000"/>
          <w:szCs w:val="22"/>
        </w:rPr>
        <w:t xml:space="preserve"> seuraukset näkyvät koko maailmassa</w:t>
      </w:r>
      <w:r w:rsidR="0053242B">
        <w:rPr>
          <w:rStyle w:val="normaltextrun"/>
          <w:rFonts w:eastAsiaTheme="majorEastAsia" w:cs="Arial"/>
          <w:color w:val="000000"/>
          <w:szCs w:val="22"/>
        </w:rPr>
        <w:t xml:space="preserve">. </w:t>
      </w:r>
      <w:r w:rsidR="00A647FF">
        <w:rPr>
          <w:rStyle w:val="normaltextrun"/>
          <w:rFonts w:eastAsiaTheme="majorEastAsia" w:cs="Arial"/>
          <w:color w:val="000000"/>
          <w:szCs w:val="22"/>
        </w:rPr>
        <w:t>Venäjän hyökkäy</w:t>
      </w:r>
      <w:r w:rsidR="005F6273">
        <w:rPr>
          <w:rStyle w:val="normaltextrun"/>
          <w:rFonts w:eastAsiaTheme="majorEastAsia" w:cs="Arial"/>
          <w:color w:val="000000"/>
          <w:szCs w:val="22"/>
        </w:rPr>
        <w:t xml:space="preserve">ksen seurauksena </w:t>
      </w:r>
      <w:r w:rsidR="0053242B">
        <w:rPr>
          <w:rStyle w:val="normaltextrun"/>
          <w:rFonts w:eastAsiaTheme="majorEastAsia" w:cs="Arial"/>
          <w:color w:val="000000"/>
          <w:szCs w:val="22"/>
        </w:rPr>
        <w:t>Suom</w:t>
      </w:r>
      <w:r w:rsidR="00A647FF">
        <w:rPr>
          <w:rStyle w:val="normaltextrun"/>
          <w:rFonts w:eastAsiaTheme="majorEastAsia" w:cs="Arial"/>
          <w:color w:val="000000"/>
          <w:szCs w:val="22"/>
        </w:rPr>
        <w:t>e</w:t>
      </w:r>
      <w:r w:rsidR="0053242B">
        <w:rPr>
          <w:rStyle w:val="normaltextrun"/>
          <w:rFonts w:eastAsiaTheme="majorEastAsia" w:cs="Arial"/>
          <w:color w:val="000000"/>
          <w:szCs w:val="22"/>
        </w:rPr>
        <w:t>n ja Ruotsin päätös liittyä Natoon syntyi muutamassa kuukaudessa keväällä 2022</w:t>
      </w:r>
      <w:r w:rsidR="005F6273">
        <w:rPr>
          <w:rStyle w:val="normaltextrun"/>
          <w:rFonts w:eastAsiaTheme="majorEastAsia" w:cs="Arial"/>
          <w:color w:val="000000"/>
          <w:szCs w:val="22"/>
        </w:rPr>
        <w:t xml:space="preserve">. </w:t>
      </w:r>
      <w:r w:rsidR="00420097" w:rsidRPr="00420097">
        <w:rPr>
          <w:rStyle w:val="normaltextrun"/>
          <w:rFonts w:eastAsiaTheme="majorEastAsia" w:cs="Arial"/>
          <w:color w:val="000000"/>
          <w:szCs w:val="22"/>
        </w:rPr>
        <w:t>Nato</w:t>
      </w:r>
      <w:r>
        <w:rPr>
          <w:rStyle w:val="normaltextrun"/>
          <w:rFonts w:eastAsiaTheme="majorEastAsia" w:cs="Arial"/>
          <w:color w:val="000000"/>
          <w:szCs w:val="22"/>
        </w:rPr>
        <w:t xml:space="preserve">-jäsenyys sitoo Suomen </w:t>
      </w:r>
      <w:r w:rsidR="005A2645">
        <w:rPr>
          <w:rStyle w:val="normaltextrun"/>
          <w:rFonts w:eastAsiaTheme="majorEastAsia" w:cs="Arial"/>
          <w:color w:val="000000"/>
          <w:szCs w:val="22"/>
        </w:rPr>
        <w:t xml:space="preserve">jatkossa </w:t>
      </w:r>
      <w:r>
        <w:rPr>
          <w:rStyle w:val="normaltextrun"/>
          <w:rFonts w:eastAsiaTheme="majorEastAsia" w:cs="Arial"/>
          <w:color w:val="000000"/>
          <w:szCs w:val="22"/>
        </w:rPr>
        <w:t>tiiviimmin Länsi-Eurooppaan ja tiivistä</w:t>
      </w:r>
      <w:r w:rsidR="002707C0">
        <w:rPr>
          <w:rStyle w:val="normaltextrun"/>
          <w:rFonts w:eastAsiaTheme="majorEastAsia" w:cs="Arial"/>
          <w:color w:val="000000"/>
          <w:szCs w:val="22"/>
        </w:rPr>
        <w:t>ä</w:t>
      </w:r>
      <w:r>
        <w:rPr>
          <w:rStyle w:val="normaltextrun"/>
          <w:rFonts w:eastAsiaTheme="majorEastAsia" w:cs="Arial"/>
          <w:color w:val="000000"/>
          <w:szCs w:val="22"/>
        </w:rPr>
        <w:t xml:space="preserve"> pohjoismaista yhteistyötä. </w:t>
      </w:r>
    </w:p>
    <w:p w14:paraId="79BC7E24" w14:textId="77777777" w:rsidR="003A7D7F" w:rsidRPr="005A73A2" w:rsidRDefault="003A7D7F" w:rsidP="005A73A2">
      <w:pPr>
        <w:rPr>
          <w:rStyle w:val="normaltextrun"/>
          <w:rFonts w:eastAsiaTheme="majorEastAsia" w:cs="Arial"/>
          <w:szCs w:val="22"/>
        </w:rPr>
      </w:pPr>
    </w:p>
    <w:p w14:paraId="6E00DC62" w14:textId="057871B6" w:rsidR="002212A8" w:rsidRDefault="003A7D7F" w:rsidP="00452C76">
      <w:pPr>
        <w:rPr>
          <w:rStyle w:val="normaltextrun"/>
          <w:rFonts w:eastAsiaTheme="majorEastAsia" w:cs="Arial"/>
          <w:color w:val="000000"/>
          <w:szCs w:val="22"/>
        </w:rPr>
      </w:pPr>
      <w:r w:rsidRPr="003A7D7F">
        <w:rPr>
          <w:rStyle w:val="normaltextrun"/>
          <w:rFonts w:eastAsiaTheme="majorEastAsia" w:cs="Arial"/>
          <w:color w:val="000000"/>
          <w:szCs w:val="22"/>
        </w:rPr>
        <w:t>Vaikeat ajat ja tulevaisuuden ennakoimattomuus nousevat vahvasti esiin myös Valtioneuvoston kanslian julkaisemassa Ministeriöiden yhteisessä tulevaisuuskatsauksessa 2022. Venäjän hyökkäys Ukrainaan on tehnyt Suomesta entistä todennäköisemmän kohteen aggressiiviselle informaatiovaikuttamiselle, jolla pyritään heikentämään kansalaisten turvallisuudentunnetta sekä luottamusta yhteiskuntaan ja päättäjiin. Verohallinnolle luottamus on tärkeää erityisesti verokertymän turvaamisen vuoksi. Virastossa onkin tunnistettu tarve entistä suunnitelmallisempaan ja ennakoivampaan viranomaisviestintään, jonka avulla voidaan vahvistaa</w:t>
      </w:r>
      <w:r>
        <w:rPr>
          <w:rStyle w:val="normaltextrun"/>
          <w:rFonts w:eastAsiaTheme="majorEastAsia" w:cs="Arial"/>
          <w:color w:val="000000"/>
          <w:szCs w:val="22"/>
        </w:rPr>
        <w:t xml:space="preserve"> kansalaisten ja yritysten</w:t>
      </w:r>
      <w:r w:rsidRPr="003A7D7F">
        <w:rPr>
          <w:rStyle w:val="normaltextrun"/>
          <w:rFonts w:eastAsiaTheme="majorEastAsia" w:cs="Arial"/>
          <w:color w:val="000000"/>
          <w:szCs w:val="22"/>
        </w:rPr>
        <w:t xml:space="preserve"> luottamusta Verohallintoa kohtaan</w:t>
      </w:r>
      <w:r>
        <w:rPr>
          <w:rStyle w:val="normaltextrun"/>
          <w:rFonts w:eastAsiaTheme="majorEastAsia" w:cs="Arial"/>
          <w:color w:val="000000"/>
          <w:szCs w:val="22"/>
        </w:rPr>
        <w:t>.</w:t>
      </w:r>
    </w:p>
    <w:p w14:paraId="166FD3FB" w14:textId="77777777" w:rsidR="003A7D7F" w:rsidRDefault="003A7D7F" w:rsidP="0058724F">
      <w:pPr>
        <w:rPr>
          <w:rStyle w:val="normaltextrun"/>
          <w:rFonts w:eastAsiaTheme="majorEastAsia" w:cs="Arial"/>
          <w:color w:val="000000"/>
          <w:szCs w:val="22"/>
        </w:rPr>
      </w:pPr>
    </w:p>
    <w:p w14:paraId="5A2AD9BF" w14:textId="38B27F79" w:rsidR="0058724F" w:rsidRPr="003A7D7F" w:rsidRDefault="003A7D7F" w:rsidP="0058724F">
      <w:pPr>
        <w:rPr>
          <w:rStyle w:val="normaltextrun"/>
          <w:rFonts w:eastAsiaTheme="majorEastAsia" w:cs="Arial"/>
          <w:szCs w:val="22"/>
        </w:rPr>
      </w:pPr>
      <w:r w:rsidRPr="005A73A2">
        <w:rPr>
          <w:rStyle w:val="normaltextrun"/>
          <w:rFonts w:eastAsiaTheme="majorEastAsia" w:cs="Arial"/>
          <w:szCs w:val="22"/>
        </w:rPr>
        <w:t>Ukrainan sota on saanut EU:n tiivistämään rivejänsä ja lisännyt yhteistyötä</w:t>
      </w:r>
      <w:r>
        <w:rPr>
          <w:rStyle w:val="normaltextrun"/>
          <w:rFonts w:eastAsiaTheme="majorEastAsia" w:cs="Arial"/>
          <w:szCs w:val="22"/>
        </w:rPr>
        <w:t xml:space="preserve"> maiden välillä.</w:t>
      </w:r>
      <w:r w:rsidRPr="005A73A2">
        <w:rPr>
          <w:rStyle w:val="normaltextrun"/>
          <w:rFonts w:eastAsiaTheme="majorEastAsia" w:cs="Arial"/>
          <w:szCs w:val="22"/>
        </w:rPr>
        <w:t xml:space="preserve"> </w:t>
      </w:r>
      <w:r w:rsidR="00420097">
        <w:rPr>
          <w:rStyle w:val="normaltextrun"/>
          <w:rFonts w:eastAsiaTheme="majorEastAsia" w:cs="Arial"/>
          <w:color w:val="000000"/>
          <w:szCs w:val="22"/>
        </w:rPr>
        <w:t>EU-maat ovat tukeneet Ukraina</w:t>
      </w:r>
      <w:r w:rsidR="00D555CC">
        <w:rPr>
          <w:rStyle w:val="normaltextrun"/>
          <w:rFonts w:eastAsiaTheme="majorEastAsia" w:cs="Arial"/>
          <w:color w:val="000000"/>
          <w:szCs w:val="22"/>
        </w:rPr>
        <w:t>a</w:t>
      </w:r>
      <w:r w:rsidR="00420097">
        <w:rPr>
          <w:rStyle w:val="normaltextrun"/>
          <w:rFonts w:eastAsiaTheme="majorEastAsia" w:cs="Arial"/>
          <w:color w:val="000000"/>
          <w:szCs w:val="22"/>
        </w:rPr>
        <w:t xml:space="preserve"> taloudellisesti </w:t>
      </w:r>
      <w:r w:rsidR="00D555CC">
        <w:rPr>
          <w:rStyle w:val="normaltextrun"/>
          <w:rFonts w:eastAsiaTheme="majorEastAsia" w:cs="Arial"/>
          <w:color w:val="000000"/>
          <w:szCs w:val="22"/>
        </w:rPr>
        <w:t>ja</w:t>
      </w:r>
      <w:r w:rsidR="00420097">
        <w:rPr>
          <w:rStyle w:val="normaltextrun"/>
          <w:rFonts w:eastAsiaTheme="majorEastAsia" w:cs="Arial"/>
          <w:color w:val="000000"/>
          <w:szCs w:val="22"/>
        </w:rPr>
        <w:t xml:space="preserve"> aseellisesti</w:t>
      </w:r>
      <w:r w:rsidR="002707C0">
        <w:rPr>
          <w:rStyle w:val="normaltextrun"/>
          <w:rFonts w:eastAsiaTheme="majorEastAsia" w:cs="Arial"/>
          <w:color w:val="000000"/>
          <w:szCs w:val="22"/>
        </w:rPr>
        <w:t>,</w:t>
      </w:r>
      <w:r w:rsidR="00420097">
        <w:rPr>
          <w:rStyle w:val="normaltextrun"/>
          <w:rFonts w:eastAsiaTheme="majorEastAsia" w:cs="Arial"/>
          <w:color w:val="000000"/>
          <w:szCs w:val="22"/>
        </w:rPr>
        <w:t xml:space="preserve"> sekä asettaneet pakotteita Venäjälle. Tämä on kasvattanut valtion menoja Suomessa</w:t>
      </w:r>
      <w:r w:rsidR="002212A8">
        <w:rPr>
          <w:rStyle w:val="normaltextrun"/>
          <w:rFonts w:eastAsiaTheme="majorEastAsia" w:cs="Arial"/>
          <w:color w:val="000000"/>
          <w:szCs w:val="22"/>
        </w:rPr>
        <w:t xml:space="preserve"> sekä suoraan että välillisesti. </w:t>
      </w:r>
      <w:r w:rsidR="00420097">
        <w:rPr>
          <w:rStyle w:val="normaltextrun"/>
          <w:rFonts w:eastAsiaTheme="majorEastAsia" w:cs="Arial"/>
          <w:color w:val="000000"/>
          <w:szCs w:val="22"/>
        </w:rPr>
        <w:t xml:space="preserve">Sodan seurauksena </w:t>
      </w:r>
      <w:r w:rsidR="00420097" w:rsidRPr="002F467B">
        <w:rPr>
          <w:rStyle w:val="normaltextrun"/>
          <w:rFonts w:eastAsiaTheme="majorEastAsia" w:cs="Arial"/>
          <w:color w:val="000000"/>
          <w:szCs w:val="22"/>
        </w:rPr>
        <w:t xml:space="preserve">kaasun ja sähkön hinnat </w:t>
      </w:r>
      <w:r w:rsidR="00420097">
        <w:rPr>
          <w:rStyle w:val="normaltextrun"/>
          <w:rFonts w:eastAsiaTheme="majorEastAsia" w:cs="Arial"/>
          <w:color w:val="000000"/>
          <w:szCs w:val="22"/>
        </w:rPr>
        <w:t>ovat lähteneet</w:t>
      </w:r>
      <w:r w:rsidR="00420097" w:rsidRPr="002F467B">
        <w:rPr>
          <w:rStyle w:val="normaltextrun"/>
          <w:rFonts w:eastAsiaTheme="majorEastAsia" w:cs="Arial"/>
          <w:color w:val="000000"/>
          <w:szCs w:val="22"/>
        </w:rPr>
        <w:t xml:space="preserve"> jyrkkään nousuun Euroopa</w:t>
      </w:r>
      <w:r w:rsidR="00420097">
        <w:rPr>
          <w:rStyle w:val="normaltextrun"/>
          <w:rFonts w:eastAsiaTheme="majorEastAsia" w:cs="Arial"/>
          <w:color w:val="000000"/>
          <w:szCs w:val="22"/>
        </w:rPr>
        <w:t xml:space="preserve">ssa. </w:t>
      </w:r>
      <w:r w:rsidR="00593564" w:rsidRPr="00593564">
        <w:rPr>
          <w:rStyle w:val="normaltextrun"/>
          <w:rFonts w:eastAsiaTheme="majorEastAsia" w:cs="Arial"/>
          <w:color w:val="000000"/>
          <w:szCs w:val="22"/>
        </w:rPr>
        <w:t>Energiakriisi koettelee tulevina kuukausina Euroop</w:t>
      </w:r>
      <w:r w:rsidR="002707C0">
        <w:rPr>
          <w:rStyle w:val="normaltextrun"/>
          <w:rFonts w:eastAsiaTheme="majorEastAsia" w:cs="Arial"/>
          <w:color w:val="000000"/>
          <w:szCs w:val="22"/>
        </w:rPr>
        <w:t>paa</w:t>
      </w:r>
      <w:r w:rsidR="00420097">
        <w:rPr>
          <w:rStyle w:val="normaltextrun"/>
          <w:rFonts w:eastAsiaTheme="majorEastAsia" w:cs="Arial"/>
          <w:color w:val="000000"/>
          <w:szCs w:val="22"/>
        </w:rPr>
        <w:t>,</w:t>
      </w:r>
      <w:r w:rsidR="00593564" w:rsidRPr="00593564">
        <w:rPr>
          <w:rStyle w:val="normaltextrun"/>
          <w:rFonts w:eastAsiaTheme="majorEastAsia" w:cs="Arial"/>
          <w:color w:val="000000"/>
          <w:szCs w:val="22"/>
        </w:rPr>
        <w:t xml:space="preserve"> ja ruokakriisin vaikutukset </w:t>
      </w:r>
      <w:r w:rsidR="00420097">
        <w:rPr>
          <w:rStyle w:val="normaltextrun"/>
          <w:rFonts w:eastAsiaTheme="majorEastAsia" w:cs="Arial"/>
          <w:color w:val="000000"/>
          <w:szCs w:val="22"/>
        </w:rPr>
        <w:t>näkyvät</w:t>
      </w:r>
      <w:r w:rsidR="00593564" w:rsidRPr="00593564">
        <w:rPr>
          <w:rStyle w:val="normaltextrun"/>
          <w:rFonts w:eastAsiaTheme="majorEastAsia" w:cs="Arial"/>
          <w:color w:val="000000"/>
          <w:szCs w:val="22"/>
        </w:rPr>
        <w:t xml:space="preserve"> jo nyt </w:t>
      </w:r>
      <w:r w:rsidR="00420097">
        <w:rPr>
          <w:rStyle w:val="normaltextrun"/>
          <w:rFonts w:eastAsiaTheme="majorEastAsia" w:cs="Arial"/>
          <w:color w:val="000000"/>
          <w:szCs w:val="22"/>
        </w:rPr>
        <w:t xml:space="preserve">kauppojen </w:t>
      </w:r>
      <w:r w:rsidR="00593564" w:rsidRPr="00593564">
        <w:rPr>
          <w:rStyle w:val="normaltextrun"/>
          <w:rFonts w:eastAsiaTheme="majorEastAsia" w:cs="Arial"/>
          <w:color w:val="000000"/>
          <w:szCs w:val="22"/>
        </w:rPr>
        <w:t xml:space="preserve">valikoimissa </w:t>
      </w:r>
      <w:r w:rsidR="00D555CC">
        <w:rPr>
          <w:rStyle w:val="normaltextrun"/>
          <w:rFonts w:eastAsiaTheme="majorEastAsia" w:cs="Arial"/>
          <w:color w:val="000000"/>
          <w:szCs w:val="22"/>
        </w:rPr>
        <w:t>ja</w:t>
      </w:r>
      <w:r w:rsidR="00593564" w:rsidRPr="00593564">
        <w:rPr>
          <w:rStyle w:val="normaltextrun"/>
          <w:rFonts w:eastAsiaTheme="majorEastAsia" w:cs="Arial"/>
          <w:color w:val="000000"/>
          <w:szCs w:val="22"/>
        </w:rPr>
        <w:t xml:space="preserve"> hinnoissa. </w:t>
      </w:r>
    </w:p>
    <w:p w14:paraId="7812406D" w14:textId="77777777" w:rsidR="0058724F" w:rsidRDefault="0058724F" w:rsidP="0058724F">
      <w:pPr>
        <w:rPr>
          <w:rStyle w:val="normaltextrun"/>
          <w:rFonts w:eastAsiaTheme="majorEastAsia" w:cs="Arial"/>
          <w:color w:val="000000"/>
          <w:szCs w:val="22"/>
        </w:rPr>
      </w:pPr>
    </w:p>
    <w:p w14:paraId="4A4485DA" w14:textId="38F05C50" w:rsidR="0058724F" w:rsidRDefault="001624D1" w:rsidP="0058724F">
      <w:pPr>
        <w:rPr>
          <w:rStyle w:val="normaltextrun"/>
          <w:rFonts w:eastAsiaTheme="majorEastAsia" w:cs="Arial"/>
          <w:color w:val="000000"/>
          <w:szCs w:val="22"/>
        </w:rPr>
      </w:pPr>
      <w:bookmarkStart w:id="4" w:name="_Hlk115800036"/>
      <w:bookmarkEnd w:id="3"/>
      <w:r>
        <w:rPr>
          <w:rStyle w:val="normaltextrun"/>
          <w:rFonts w:eastAsiaTheme="majorEastAsia" w:cs="Arial"/>
          <w:color w:val="000000"/>
          <w:szCs w:val="22"/>
        </w:rPr>
        <w:lastRenderedPageBreak/>
        <w:t>Energia</w:t>
      </w:r>
      <w:r w:rsidR="007B04D6">
        <w:rPr>
          <w:rStyle w:val="normaltextrun"/>
          <w:rFonts w:eastAsiaTheme="majorEastAsia" w:cs="Arial"/>
          <w:color w:val="000000"/>
          <w:szCs w:val="22"/>
        </w:rPr>
        <w:t>pulan</w:t>
      </w:r>
      <w:r>
        <w:rPr>
          <w:rStyle w:val="normaltextrun"/>
          <w:rFonts w:eastAsiaTheme="majorEastAsia" w:cs="Arial"/>
          <w:color w:val="000000"/>
          <w:szCs w:val="22"/>
        </w:rPr>
        <w:t xml:space="preserve"> vuoksi Euroopassa joudut</w:t>
      </w:r>
      <w:r w:rsidR="007B04D6">
        <w:rPr>
          <w:rStyle w:val="normaltextrun"/>
          <w:rFonts w:eastAsiaTheme="majorEastAsia" w:cs="Arial"/>
          <w:color w:val="000000"/>
          <w:szCs w:val="22"/>
        </w:rPr>
        <w:t>aan</w:t>
      </w:r>
      <w:r>
        <w:rPr>
          <w:rStyle w:val="normaltextrun"/>
          <w:rFonts w:eastAsiaTheme="majorEastAsia" w:cs="Arial"/>
          <w:color w:val="000000"/>
          <w:szCs w:val="22"/>
        </w:rPr>
        <w:t xml:space="preserve"> </w:t>
      </w:r>
      <w:r w:rsidR="007B04D6">
        <w:rPr>
          <w:rStyle w:val="normaltextrun"/>
          <w:rFonts w:eastAsiaTheme="majorEastAsia" w:cs="Arial"/>
          <w:color w:val="000000"/>
          <w:szCs w:val="22"/>
        </w:rPr>
        <w:t xml:space="preserve">ainakin tilapäisesti </w:t>
      </w:r>
      <w:r>
        <w:rPr>
          <w:rStyle w:val="normaltextrun"/>
          <w:rFonts w:eastAsiaTheme="majorEastAsia" w:cs="Arial"/>
          <w:color w:val="000000"/>
          <w:szCs w:val="22"/>
        </w:rPr>
        <w:t xml:space="preserve">lisäämään saastuttavampien energianlähteiden hyödyntämistä. Toisaalta EU:n halu katkaista energiariippuvuus Venäjästä vauhdittaa investointeja vihreään energiaan </w:t>
      </w:r>
      <w:r w:rsidR="001B7473">
        <w:rPr>
          <w:rStyle w:val="normaltextrun"/>
          <w:rFonts w:eastAsiaTheme="majorEastAsia" w:cs="Arial"/>
          <w:color w:val="000000"/>
          <w:szCs w:val="22"/>
        </w:rPr>
        <w:t>sekä</w:t>
      </w:r>
      <w:r>
        <w:rPr>
          <w:rStyle w:val="normaltextrun"/>
          <w:rFonts w:eastAsiaTheme="majorEastAsia" w:cs="Arial"/>
          <w:color w:val="000000"/>
          <w:szCs w:val="22"/>
        </w:rPr>
        <w:t xml:space="preserve"> fossiilisia polttoaineita korvaavien energiamuotojen</w:t>
      </w:r>
      <w:r w:rsidR="001B2293">
        <w:rPr>
          <w:rStyle w:val="normaltextrun"/>
          <w:rFonts w:eastAsiaTheme="majorEastAsia" w:cs="Arial"/>
          <w:color w:val="000000"/>
          <w:szCs w:val="22"/>
        </w:rPr>
        <w:t xml:space="preserve">, kuten tuulivoiman kehittämistä. </w:t>
      </w:r>
      <w:r w:rsidR="0058724F">
        <w:rPr>
          <w:rStyle w:val="normaltextrun"/>
          <w:rFonts w:eastAsiaTheme="majorEastAsia" w:cs="Arial"/>
          <w:color w:val="000000"/>
          <w:szCs w:val="22"/>
        </w:rPr>
        <w:t>Euroopassa on ryhdytty sähkönsäästötoimenpiteisiin, ja esimerkiksi Suomessa valtion kiinteistöistä vastaava Senaatti-kiinteistö toteuttaa tulevana talvena mittavan energiansäästöohjelman sähkön ja lämmön säästämiseksi.</w:t>
      </w:r>
    </w:p>
    <w:p w14:paraId="13CFC4B5" w14:textId="77777777" w:rsidR="001B2293" w:rsidRDefault="001B2293" w:rsidP="001B2293">
      <w:pPr>
        <w:rPr>
          <w:rStyle w:val="normaltextrun"/>
          <w:rFonts w:eastAsiaTheme="majorEastAsia" w:cs="Arial"/>
          <w:color w:val="000000"/>
          <w:szCs w:val="22"/>
        </w:rPr>
      </w:pPr>
    </w:p>
    <w:p w14:paraId="24BA189D" w14:textId="5861A421" w:rsidR="001B2293" w:rsidRPr="008C1B66" w:rsidRDefault="003A7D7F" w:rsidP="001B2293">
      <w:pPr>
        <w:rPr>
          <w:rStyle w:val="normaltextrun"/>
          <w:rFonts w:eastAsiaTheme="majorEastAsia" w:cs="Arial"/>
          <w:szCs w:val="22"/>
        </w:rPr>
      </w:pPr>
      <w:r>
        <w:rPr>
          <w:rStyle w:val="normaltextrun"/>
          <w:rFonts w:eastAsiaTheme="majorEastAsia" w:cs="Arial"/>
          <w:color w:val="000000"/>
          <w:szCs w:val="22"/>
        </w:rPr>
        <w:t xml:space="preserve">Euroopan tilannetta pahentaa ilmastonmuutos, jonka seurauksena kulunut kesä on ollut Euroopassa kuivin 500 vuoteen. </w:t>
      </w:r>
      <w:r w:rsidR="001B2293" w:rsidRPr="008C1B66">
        <w:rPr>
          <w:rStyle w:val="normaltextrun"/>
          <w:rFonts w:eastAsiaTheme="majorEastAsia" w:cs="Arial"/>
          <w:szCs w:val="22"/>
        </w:rPr>
        <w:t>Ilmastonmuutos ja luontopääoman ylikulutus pakottavat</w:t>
      </w:r>
      <w:r w:rsidR="001B2293">
        <w:rPr>
          <w:rStyle w:val="normaltextrun"/>
          <w:rFonts w:eastAsiaTheme="majorEastAsia" w:cs="Arial"/>
          <w:szCs w:val="22"/>
        </w:rPr>
        <w:t xml:space="preserve"> </w:t>
      </w:r>
      <w:r w:rsidR="001B2293" w:rsidRPr="008C1B66">
        <w:rPr>
          <w:rStyle w:val="normaltextrun"/>
          <w:rFonts w:eastAsiaTheme="majorEastAsia" w:cs="Arial"/>
          <w:szCs w:val="22"/>
        </w:rPr>
        <w:t>löytämään nykyistä tehokkaampia ja kestävämpiä tapoja tuottaa, kuluttaa ja luoda kasvua taloudessa. Kestävän kehityksen kasvavat vaatimukset, kuten kierrätettävyyden ja korjattavuuden vaatimukset sekä luonnon monimuotoisuuden turvaaminen, lisäävät yritystoiminnan haasteita jo muutenkin epävakaassa toimintaympäristössä.</w:t>
      </w:r>
    </w:p>
    <w:bookmarkEnd w:id="4"/>
    <w:p w14:paraId="4721DE24" w14:textId="77777777" w:rsidR="00EB1124" w:rsidRDefault="00EB1124" w:rsidP="00452C76">
      <w:pPr>
        <w:rPr>
          <w:rStyle w:val="normaltextrun"/>
          <w:rFonts w:eastAsiaTheme="majorEastAsia" w:cs="Arial"/>
          <w:color w:val="000000"/>
          <w:szCs w:val="22"/>
        </w:rPr>
      </w:pPr>
    </w:p>
    <w:p w14:paraId="5E2BDA9D" w14:textId="20BCCC22" w:rsidR="00070406" w:rsidRPr="005A73A2" w:rsidRDefault="00EB1124" w:rsidP="00452C76">
      <w:pPr>
        <w:rPr>
          <w:rStyle w:val="normaltextrun"/>
          <w:rFonts w:eastAsiaTheme="majorEastAsia" w:cs="Arial"/>
          <w:szCs w:val="22"/>
        </w:rPr>
      </w:pPr>
      <w:r w:rsidRPr="005A73A2">
        <w:rPr>
          <w:rStyle w:val="normaltextrun"/>
          <w:rFonts w:eastAsiaTheme="majorEastAsia" w:cs="Arial"/>
          <w:szCs w:val="22"/>
        </w:rPr>
        <w:t xml:space="preserve">Globalisaatio ja digitalisuus ovat verotuksen kannalta erittäin merkittäviä, pitkään jatkuneita ja toisiaan vahvistavia megatrendejä. </w:t>
      </w:r>
      <w:r w:rsidR="00070406" w:rsidRPr="005A73A2">
        <w:rPr>
          <w:rStyle w:val="normaltextrun"/>
          <w:rFonts w:eastAsiaTheme="majorEastAsia" w:cs="Arial"/>
          <w:szCs w:val="22"/>
        </w:rPr>
        <w:t>Nyt näyttää kuitenkin siltä, että maailma on jaka</w:t>
      </w:r>
      <w:r w:rsidR="005A73A2">
        <w:rPr>
          <w:rStyle w:val="normaltextrun"/>
          <w:rFonts w:eastAsiaTheme="majorEastAsia" w:cs="Arial"/>
          <w:szCs w:val="22"/>
        </w:rPr>
        <w:t>u</w:t>
      </w:r>
      <w:r w:rsidR="00070406" w:rsidRPr="005A73A2">
        <w:rPr>
          <w:rStyle w:val="normaltextrun"/>
          <w:rFonts w:eastAsiaTheme="majorEastAsia" w:cs="Arial"/>
          <w:szCs w:val="22"/>
        </w:rPr>
        <w:t xml:space="preserve">tumassa keskenään kilpaileviin blokkeihin ja deglobalisaatio </w:t>
      </w:r>
      <w:r w:rsidR="003D635F">
        <w:rPr>
          <w:rStyle w:val="normaltextrun"/>
          <w:rFonts w:eastAsiaTheme="majorEastAsia" w:cs="Arial"/>
          <w:szCs w:val="22"/>
        </w:rPr>
        <w:t>o</w:t>
      </w:r>
      <w:r w:rsidR="00070406" w:rsidRPr="005A73A2">
        <w:rPr>
          <w:rStyle w:val="normaltextrun"/>
          <w:rFonts w:eastAsiaTheme="majorEastAsia" w:cs="Arial"/>
          <w:szCs w:val="22"/>
        </w:rPr>
        <w:t xml:space="preserve">n käynnistynyt. </w:t>
      </w:r>
      <w:r w:rsidR="005A73A2">
        <w:rPr>
          <w:rStyle w:val="normaltextrun"/>
          <w:rFonts w:eastAsiaTheme="majorEastAsia" w:cs="Arial"/>
          <w:szCs w:val="22"/>
        </w:rPr>
        <w:t>Venäjäriskin toteuduttua</w:t>
      </w:r>
      <w:r w:rsidR="00070406" w:rsidRPr="005A73A2">
        <w:rPr>
          <w:rStyle w:val="normaltextrun"/>
          <w:rFonts w:eastAsiaTheme="majorEastAsia" w:cs="Arial"/>
          <w:szCs w:val="22"/>
        </w:rPr>
        <w:t xml:space="preserve"> </w:t>
      </w:r>
      <w:r w:rsidR="005A73A2">
        <w:rPr>
          <w:rStyle w:val="normaltextrun"/>
          <w:rFonts w:eastAsiaTheme="majorEastAsia" w:cs="Arial"/>
          <w:szCs w:val="22"/>
        </w:rPr>
        <w:t xml:space="preserve">Euroopassa on havahduttu </w:t>
      </w:r>
      <w:r w:rsidR="00070406" w:rsidRPr="005A73A2">
        <w:rPr>
          <w:rStyle w:val="normaltextrun"/>
          <w:rFonts w:eastAsiaTheme="majorEastAsia" w:cs="Arial"/>
          <w:szCs w:val="22"/>
        </w:rPr>
        <w:t>myös Kiina</w:t>
      </w:r>
      <w:r w:rsidR="00994ECF">
        <w:rPr>
          <w:rStyle w:val="normaltextrun"/>
          <w:rFonts w:eastAsiaTheme="majorEastAsia" w:cs="Arial"/>
          <w:szCs w:val="22"/>
        </w:rPr>
        <w:t>a</w:t>
      </w:r>
      <w:r w:rsidR="00070406" w:rsidRPr="005A73A2">
        <w:rPr>
          <w:rStyle w:val="normaltextrun"/>
          <w:rFonts w:eastAsiaTheme="majorEastAsia" w:cs="Arial"/>
          <w:szCs w:val="22"/>
        </w:rPr>
        <w:t xml:space="preserve">n </w:t>
      </w:r>
      <w:r w:rsidR="005A73A2">
        <w:rPr>
          <w:rStyle w:val="normaltextrun"/>
          <w:rFonts w:eastAsiaTheme="majorEastAsia" w:cs="Arial"/>
          <w:szCs w:val="22"/>
        </w:rPr>
        <w:t>liittyviin riskeihin</w:t>
      </w:r>
      <w:r w:rsidR="00070406" w:rsidRPr="005A73A2">
        <w:rPr>
          <w:rStyle w:val="normaltextrun"/>
          <w:rFonts w:eastAsiaTheme="majorEastAsia" w:cs="Arial"/>
          <w:szCs w:val="22"/>
        </w:rPr>
        <w:t xml:space="preserve"> </w:t>
      </w:r>
      <w:r w:rsidR="005A73A2">
        <w:rPr>
          <w:rStyle w:val="normaltextrun"/>
          <w:rFonts w:eastAsiaTheme="majorEastAsia" w:cs="Arial"/>
          <w:szCs w:val="22"/>
        </w:rPr>
        <w:t>ja ryhdytty suunnittelemaan toimenpiteitä, joilla riippuvuutta Kiinasta voidaan vähentää</w:t>
      </w:r>
      <w:r w:rsidR="00070406" w:rsidRPr="005A73A2">
        <w:rPr>
          <w:rStyle w:val="normaltextrun"/>
          <w:rFonts w:eastAsiaTheme="majorEastAsia" w:cs="Arial"/>
          <w:szCs w:val="22"/>
        </w:rPr>
        <w:t xml:space="preserve">. </w:t>
      </w:r>
    </w:p>
    <w:p w14:paraId="3DBDF04E" w14:textId="77777777" w:rsidR="001B7473" w:rsidRDefault="001B7473" w:rsidP="00452C76">
      <w:pPr>
        <w:rPr>
          <w:rStyle w:val="normaltextrun"/>
          <w:rFonts w:eastAsiaTheme="majorEastAsia" w:cs="Arial"/>
          <w:szCs w:val="22"/>
        </w:rPr>
      </w:pPr>
    </w:p>
    <w:p w14:paraId="0167C578" w14:textId="26780E05" w:rsidR="003D635F" w:rsidRDefault="005A2645" w:rsidP="00452C76">
      <w:pPr>
        <w:rPr>
          <w:rStyle w:val="normaltextrun"/>
          <w:rFonts w:eastAsiaTheme="majorEastAsia" w:cs="Arial"/>
          <w:szCs w:val="22"/>
        </w:rPr>
      </w:pPr>
      <w:r w:rsidRPr="005A73A2">
        <w:rPr>
          <w:rStyle w:val="normaltextrun"/>
          <w:rFonts w:eastAsiaTheme="majorEastAsia" w:cs="Arial"/>
          <w:szCs w:val="22"/>
        </w:rPr>
        <w:t>Digitaalisuus jatkuu alati kehittyvänä trendinä, jonka kaikkia kehityskulkuja vaikutuksineen on mahdoton</w:t>
      </w:r>
      <w:r w:rsidR="00E25967">
        <w:rPr>
          <w:rStyle w:val="normaltextrun"/>
          <w:rFonts w:eastAsiaTheme="majorEastAsia" w:cs="Arial"/>
          <w:szCs w:val="22"/>
        </w:rPr>
        <w:t>ta</w:t>
      </w:r>
      <w:r w:rsidRPr="005A73A2">
        <w:rPr>
          <w:rStyle w:val="normaltextrun"/>
          <w:rFonts w:eastAsiaTheme="majorEastAsia" w:cs="Arial"/>
          <w:szCs w:val="22"/>
        </w:rPr>
        <w:t xml:space="preserve"> ennakoida. </w:t>
      </w:r>
      <w:r w:rsidR="003D635F" w:rsidRPr="005A73A2">
        <w:rPr>
          <w:rStyle w:val="normaltextrun"/>
          <w:rFonts w:eastAsiaTheme="majorEastAsia" w:cs="Arial"/>
          <w:szCs w:val="22"/>
        </w:rPr>
        <w:t xml:space="preserve">Datatalous, kyberturvallisuus, kvanttitekniikka, lohkoketjut, NFT (Non-fungible token), tekoäly sekä erilaiset </w:t>
      </w:r>
      <w:r w:rsidR="003D635F">
        <w:rPr>
          <w:rStyle w:val="normaltextrun"/>
          <w:rFonts w:eastAsiaTheme="majorEastAsia" w:cs="Arial"/>
          <w:szCs w:val="22"/>
        </w:rPr>
        <w:t xml:space="preserve">uudet </w:t>
      </w:r>
      <w:r w:rsidR="003D635F" w:rsidRPr="005A73A2">
        <w:rPr>
          <w:rStyle w:val="normaltextrun"/>
          <w:rFonts w:eastAsiaTheme="majorEastAsia" w:cs="Arial"/>
          <w:szCs w:val="22"/>
        </w:rPr>
        <w:t>energia- ja liikennemuodot</w:t>
      </w:r>
      <w:r w:rsidR="003D635F">
        <w:rPr>
          <w:rStyle w:val="normaltextrun"/>
          <w:rFonts w:eastAsiaTheme="majorEastAsia" w:cs="Arial"/>
          <w:szCs w:val="22"/>
        </w:rPr>
        <w:t xml:space="preserve"> ja n</w:t>
      </w:r>
      <w:r w:rsidR="00994ECF">
        <w:rPr>
          <w:rStyle w:val="normaltextrun"/>
          <w:rFonts w:eastAsiaTheme="majorEastAsia" w:cs="Arial"/>
          <w:szCs w:val="22"/>
        </w:rPr>
        <w:t>äihin</w:t>
      </w:r>
      <w:r w:rsidR="003D635F">
        <w:rPr>
          <w:rStyle w:val="normaltextrun"/>
          <w:rFonts w:eastAsiaTheme="majorEastAsia" w:cs="Arial"/>
          <w:szCs w:val="22"/>
        </w:rPr>
        <w:t xml:space="preserve"> liittyvät ilmiöt muuttavat yhteiskuntaamme</w:t>
      </w:r>
      <w:r w:rsidR="003D635F" w:rsidRPr="005A73A2">
        <w:rPr>
          <w:rStyle w:val="normaltextrun"/>
          <w:rFonts w:eastAsiaTheme="majorEastAsia" w:cs="Arial"/>
          <w:szCs w:val="22"/>
        </w:rPr>
        <w:t>. Kyberturvallisuuden mer</w:t>
      </w:r>
      <w:r w:rsidR="003D635F">
        <w:rPr>
          <w:rStyle w:val="normaltextrun"/>
          <w:rFonts w:eastAsiaTheme="majorEastAsia" w:cs="Arial"/>
          <w:szCs w:val="22"/>
        </w:rPr>
        <w:t>kity</w:t>
      </w:r>
      <w:r w:rsidR="003D635F" w:rsidRPr="005A73A2">
        <w:rPr>
          <w:rStyle w:val="normaltextrun"/>
          <w:rFonts w:eastAsiaTheme="majorEastAsia" w:cs="Arial"/>
          <w:szCs w:val="22"/>
        </w:rPr>
        <w:t xml:space="preserve">s </w:t>
      </w:r>
      <w:r w:rsidR="003D635F">
        <w:rPr>
          <w:rStyle w:val="normaltextrun"/>
          <w:rFonts w:eastAsiaTheme="majorEastAsia" w:cs="Arial"/>
          <w:szCs w:val="22"/>
        </w:rPr>
        <w:t>vahvistuu</w:t>
      </w:r>
      <w:r w:rsidR="003D635F" w:rsidRPr="005A73A2">
        <w:rPr>
          <w:rStyle w:val="normaltextrun"/>
          <w:rFonts w:eastAsiaTheme="majorEastAsia" w:cs="Arial"/>
          <w:szCs w:val="22"/>
        </w:rPr>
        <w:t xml:space="preserve"> digitalis</w:t>
      </w:r>
      <w:r w:rsidR="003D635F">
        <w:rPr>
          <w:rStyle w:val="normaltextrun"/>
          <w:rFonts w:eastAsiaTheme="majorEastAsia" w:cs="Arial"/>
          <w:szCs w:val="22"/>
        </w:rPr>
        <w:t xml:space="preserve">aation laajentuessa yhteiskunnan kaikille osa-alueille. </w:t>
      </w:r>
      <w:r w:rsidR="003D635F" w:rsidRPr="005A73A2">
        <w:rPr>
          <w:rStyle w:val="normaltextrun"/>
          <w:rFonts w:eastAsiaTheme="majorEastAsia" w:cs="Arial"/>
          <w:szCs w:val="22"/>
        </w:rPr>
        <w:t>Virtuaaliset liiketoimintaympäristöt</w:t>
      </w:r>
      <w:r w:rsidR="003D635F">
        <w:rPr>
          <w:rStyle w:val="normaltextrun"/>
          <w:rFonts w:eastAsiaTheme="majorEastAsia" w:cs="Arial"/>
          <w:szCs w:val="22"/>
        </w:rPr>
        <w:t xml:space="preserve"> ja metaversumit</w:t>
      </w:r>
      <w:r w:rsidR="003D635F" w:rsidRPr="005A73A2">
        <w:rPr>
          <w:rStyle w:val="normaltextrun"/>
          <w:rFonts w:eastAsiaTheme="majorEastAsia" w:cs="Arial"/>
          <w:szCs w:val="22"/>
        </w:rPr>
        <w:t xml:space="preserve"> haastavat reaalimaailman toimintatavat</w:t>
      </w:r>
      <w:r w:rsidR="003D635F">
        <w:rPr>
          <w:rStyle w:val="normaltextrun"/>
          <w:rFonts w:eastAsiaTheme="majorEastAsia" w:cs="Arial"/>
          <w:szCs w:val="22"/>
        </w:rPr>
        <w:t>, kun l</w:t>
      </w:r>
      <w:r w:rsidR="003D635F" w:rsidRPr="005A73A2">
        <w:rPr>
          <w:rStyle w:val="eop"/>
          <w:rFonts w:cs="Arial"/>
          <w:szCs w:val="22"/>
        </w:rPr>
        <w:t>iiketoimintaa ja pääomia on helppo siirtää paikasta ja maasta toiseen, myös virtuaalimaailmoihin</w:t>
      </w:r>
      <w:r w:rsidR="003D635F">
        <w:rPr>
          <w:rStyle w:val="eop"/>
          <w:rFonts w:cs="Arial"/>
          <w:szCs w:val="22"/>
        </w:rPr>
        <w:t>.</w:t>
      </w:r>
    </w:p>
    <w:p w14:paraId="3408B080" w14:textId="77777777" w:rsidR="003D635F" w:rsidRDefault="003D635F" w:rsidP="00452C76">
      <w:pPr>
        <w:rPr>
          <w:rStyle w:val="normaltextrun"/>
          <w:rFonts w:eastAsiaTheme="majorEastAsia" w:cs="Arial"/>
          <w:szCs w:val="22"/>
        </w:rPr>
      </w:pPr>
    </w:p>
    <w:p w14:paraId="3AEA22C6" w14:textId="217C1602" w:rsidR="00994ECF" w:rsidRDefault="005A2645" w:rsidP="00452C76">
      <w:pPr>
        <w:rPr>
          <w:rStyle w:val="normaltextrun"/>
          <w:rFonts w:eastAsiaTheme="majorEastAsia" w:cs="Arial"/>
          <w:szCs w:val="22"/>
        </w:rPr>
      </w:pPr>
      <w:r w:rsidRPr="005A73A2">
        <w:rPr>
          <w:rStyle w:val="normaltextrun"/>
          <w:rFonts w:eastAsiaTheme="majorEastAsia" w:cs="Arial"/>
          <w:szCs w:val="22"/>
        </w:rPr>
        <w:t xml:space="preserve">Digitaalisuus vahvistaa kehitystä, jossa henkilöasiakkaiden tulonlähteet monipuolistuvat ja globalisoituvat. Viimeaikaisia esimerkkejä tästä ilmiöstä ovat ruokalähetit, tubettajat ja virtuaalivaluuttojen korkotulot. Tulonmuodostus tapahtuu pääosin ulkomaisten alustojen välityksellä, jolloin verotuksen tietopohja on kansainvälisen tietojenvaihdon varassa kansallisen sivullisilmoittamisen sijaan. </w:t>
      </w:r>
      <w:r w:rsidR="00BC0BB8" w:rsidRPr="005A73A2">
        <w:rPr>
          <w:rStyle w:val="normaltextrun"/>
          <w:rFonts w:eastAsiaTheme="majorEastAsia" w:cs="Arial"/>
          <w:szCs w:val="22"/>
        </w:rPr>
        <w:t xml:space="preserve">Alustatalouden, virtuaalivaluuttojen sekä sosiaalisen median </w:t>
      </w:r>
      <w:r w:rsidR="00BC0BB8">
        <w:rPr>
          <w:rStyle w:val="normaltextrun"/>
          <w:rFonts w:eastAsiaTheme="majorEastAsia" w:cs="Arial"/>
          <w:szCs w:val="22"/>
        </w:rPr>
        <w:t xml:space="preserve">kansainvälinen </w:t>
      </w:r>
      <w:r w:rsidR="00BC0BB8" w:rsidRPr="005A73A2">
        <w:rPr>
          <w:rStyle w:val="normaltextrun"/>
          <w:rFonts w:eastAsiaTheme="majorEastAsia" w:cs="Arial"/>
          <w:szCs w:val="22"/>
        </w:rPr>
        <w:t xml:space="preserve">sääntely ja tietojenvaihto </w:t>
      </w:r>
      <w:r w:rsidR="00BC0BB8">
        <w:rPr>
          <w:rStyle w:val="normaltextrun"/>
          <w:rFonts w:eastAsiaTheme="majorEastAsia" w:cs="Arial"/>
          <w:szCs w:val="22"/>
        </w:rPr>
        <w:t xml:space="preserve">kuitenkin </w:t>
      </w:r>
      <w:r w:rsidR="00BC0BB8" w:rsidRPr="005A73A2">
        <w:rPr>
          <w:rStyle w:val="normaltextrun"/>
          <w:rFonts w:eastAsiaTheme="majorEastAsia" w:cs="Arial"/>
          <w:szCs w:val="22"/>
        </w:rPr>
        <w:t xml:space="preserve">etenevät. </w:t>
      </w:r>
      <w:r w:rsidR="00BC0BB8">
        <w:rPr>
          <w:rStyle w:val="normaltextrun"/>
          <w:rFonts w:eastAsiaTheme="majorEastAsia" w:cs="Arial"/>
          <w:szCs w:val="22"/>
        </w:rPr>
        <w:t>Myös o</w:t>
      </w:r>
      <w:r w:rsidR="00BC0BB8" w:rsidRPr="005A73A2">
        <w:rPr>
          <w:rStyle w:val="normaltextrun"/>
          <w:rFonts w:eastAsiaTheme="majorEastAsia" w:cs="Arial"/>
          <w:szCs w:val="22"/>
        </w:rPr>
        <w:t>sittain globaal</w:t>
      </w:r>
      <w:r w:rsidR="00BC0BB8">
        <w:rPr>
          <w:rStyle w:val="normaltextrun"/>
          <w:rFonts w:eastAsiaTheme="majorEastAsia" w:cs="Arial"/>
          <w:szCs w:val="22"/>
        </w:rPr>
        <w:t>ista</w:t>
      </w:r>
      <w:r w:rsidR="00BC0BB8" w:rsidRPr="005A73A2">
        <w:rPr>
          <w:rStyle w:val="normaltextrun"/>
          <w:rFonts w:eastAsiaTheme="majorEastAsia" w:cs="Arial"/>
          <w:szCs w:val="22"/>
        </w:rPr>
        <w:t xml:space="preserve"> verotusjärjestelmä</w:t>
      </w:r>
      <w:r w:rsidR="00BC0BB8">
        <w:rPr>
          <w:rStyle w:val="normaltextrun"/>
          <w:rFonts w:eastAsiaTheme="majorEastAsia" w:cs="Arial"/>
          <w:szCs w:val="22"/>
        </w:rPr>
        <w:t>stä</w:t>
      </w:r>
      <w:r w:rsidR="00BC0BB8" w:rsidRPr="005A73A2">
        <w:rPr>
          <w:rStyle w:val="normaltextrun"/>
          <w:rFonts w:eastAsiaTheme="majorEastAsia" w:cs="Arial"/>
          <w:szCs w:val="22"/>
        </w:rPr>
        <w:t xml:space="preserve"> on keskustel</w:t>
      </w:r>
      <w:r w:rsidR="00BC0BB8">
        <w:rPr>
          <w:rStyle w:val="normaltextrun"/>
          <w:rFonts w:eastAsiaTheme="majorEastAsia" w:cs="Arial"/>
          <w:szCs w:val="22"/>
        </w:rPr>
        <w:t>tu</w:t>
      </w:r>
      <w:r w:rsidR="00BC0BB8" w:rsidRPr="005A73A2">
        <w:rPr>
          <w:rStyle w:val="normaltextrun"/>
          <w:rFonts w:eastAsiaTheme="majorEastAsia" w:cs="Arial"/>
          <w:szCs w:val="22"/>
        </w:rPr>
        <w:t>.</w:t>
      </w:r>
    </w:p>
    <w:p w14:paraId="45408F1E" w14:textId="19528D36" w:rsidR="00994ECF" w:rsidRDefault="00994ECF" w:rsidP="00452C76">
      <w:pPr>
        <w:rPr>
          <w:rStyle w:val="normaltextrun"/>
          <w:rFonts w:eastAsiaTheme="majorEastAsia" w:cs="Arial"/>
          <w:szCs w:val="22"/>
        </w:rPr>
      </w:pPr>
    </w:p>
    <w:p w14:paraId="61765F36" w14:textId="42D2866F" w:rsidR="00C40668" w:rsidRPr="005A73A2" w:rsidRDefault="005A2645" w:rsidP="00C40668">
      <w:pPr>
        <w:rPr>
          <w:rStyle w:val="normaltextrun"/>
          <w:rFonts w:eastAsiaTheme="majorEastAsia" w:cs="Arial"/>
          <w:szCs w:val="22"/>
        </w:rPr>
      </w:pPr>
      <w:r w:rsidRPr="005A73A2">
        <w:rPr>
          <w:rStyle w:val="normaltextrun"/>
          <w:rFonts w:eastAsiaTheme="majorEastAsia" w:cs="Arial"/>
          <w:szCs w:val="22"/>
        </w:rPr>
        <w:t>Rahavirtojen seuraaminen on myös vaikeutunut</w:t>
      </w:r>
      <w:r w:rsidR="00994ECF">
        <w:rPr>
          <w:rStyle w:val="normaltextrun"/>
          <w:rFonts w:eastAsiaTheme="majorEastAsia" w:cs="Arial"/>
          <w:szCs w:val="22"/>
        </w:rPr>
        <w:t xml:space="preserve">: </w:t>
      </w:r>
      <w:r w:rsidR="00C40668" w:rsidRPr="005A73A2">
        <w:rPr>
          <w:rStyle w:val="eop"/>
          <w:rFonts w:cs="Arial"/>
          <w:szCs w:val="22"/>
        </w:rPr>
        <w:t>Finanssisektori, sijoittaminen, maksaminen ja maksuvälineet muuttuvat nopeasti teknologian mahdollistaessa uusien virtuaalivaluuttojen ja -sijoitusmuotojen markkinoiden kehittymisen perinteisen pankkisektorin ulkopuolelle.</w:t>
      </w:r>
      <w:r w:rsidR="003D635F">
        <w:rPr>
          <w:rStyle w:val="eop"/>
          <w:rFonts w:cs="Arial"/>
          <w:szCs w:val="22"/>
        </w:rPr>
        <w:t xml:space="preserve"> </w:t>
      </w:r>
      <w:r w:rsidR="00C40668" w:rsidRPr="005A73A2">
        <w:rPr>
          <w:rStyle w:val="normaltextrun"/>
          <w:rFonts w:eastAsiaTheme="majorEastAsia" w:cs="Arial"/>
          <w:szCs w:val="22"/>
        </w:rPr>
        <w:t xml:space="preserve">Virtuaalivaluutat ja lohkoketjuteknologian laajentuva hyödyntäminen luovat verotukselle haasteita rahavirtojen seurattavuuden osalta. </w:t>
      </w:r>
      <w:r w:rsidR="00C40668">
        <w:rPr>
          <w:rStyle w:val="normaltextrun"/>
          <w:rFonts w:eastAsiaTheme="majorEastAsia" w:cs="Arial"/>
          <w:szCs w:val="22"/>
        </w:rPr>
        <w:t>Uudet teknologiat ovat ongelmallisia verotuksen kannalta myös siksi, että</w:t>
      </w:r>
      <w:r w:rsidR="00C40668" w:rsidRPr="005A73A2">
        <w:rPr>
          <w:rStyle w:val="normaltextrun"/>
          <w:rFonts w:eastAsiaTheme="majorEastAsia" w:cs="Arial"/>
          <w:szCs w:val="22"/>
        </w:rPr>
        <w:t xml:space="preserve"> lainsäädäntö </w:t>
      </w:r>
      <w:r w:rsidR="00C40668">
        <w:rPr>
          <w:rStyle w:val="normaltextrun"/>
          <w:rFonts w:eastAsiaTheme="majorEastAsia" w:cs="Arial"/>
          <w:szCs w:val="22"/>
        </w:rPr>
        <w:t>ei tahdo pysyä mukana</w:t>
      </w:r>
      <w:r w:rsidR="00C40668" w:rsidRPr="005A73A2">
        <w:rPr>
          <w:rStyle w:val="normaltextrun"/>
          <w:rFonts w:eastAsiaTheme="majorEastAsia" w:cs="Arial"/>
          <w:szCs w:val="22"/>
        </w:rPr>
        <w:t xml:space="preserve"> teknologioiden nopeatahtise</w:t>
      </w:r>
      <w:r w:rsidR="00C40668">
        <w:rPr>
          <w:rStyle w:val="normaltextrun"/>
          <w:rFonts w:eastAsiaTheme="majorEastAsia" w:cs="Arial"/>
          <w:szCs w:val="22"/>
        </w:rPr>
        <w:t>n</w:t>
      </w:r>
      <w:r w:rsidR="00C40668" w:rsidRPr="005A73A2">
        <w:rPr>
          <w:rStyle w:val="normaltextrun"/>
          <w:rFonts w:eastAsiaTheme="majorEastAsia" w:cs="Arial"/>
          <w:szCs w:val="22"/>
        </w:rPr>
        <w:t xml:space="preserve"> kehityksen ja käyttöönot</w:t>
      </w:r>
      <w:r w:rsidR="00C40668">
        <w:rPr>
          <w:rStyle w:val="normaltextrun"/>
          <w:rFonts w:eastAsiaTheme="majorEastAsia" w:cs="Arial"/>
          <w:szCs w:val="22"/>
        </w:rPr>
        <w:t>o</w:t>
      </w:r>
      <w:r w:rsidR="00C40668" w:rsidRPr="005A73A2">
        <w:rPr>
          <w:rStyle w:val="normaltextrun"/>
          <w:rFonts w:eastAsiaTheme="majorEastAsia" w:cs="Arial"/>
          <w:szCs w:val="22"/>
        </w:rPr>
        <w:t>n</w:t>
      </w:r>
      <w:r w:rsidR="00C40668">
        <w:rPr>
          <w:rStyle w:val="normaltextrun"/>
          <w:rFonts w:eastAsiaTheme="majorEastAsia" w:cs="Arial"/>
          <w:szCs w:val="22"/>
        </w:rPr>
        <w:t xml:space="preserve"> vauhdissa</w:t>
      </w:r>
      <w:r w:rsidR="00C40668" w:rsidRPr="005A73A2">
        <w:rPr>
          <w:rStyle w:val="normaltextrun"/>
          <w:rFonts w:eastAsiaTheme="majorEastAsia" w:cs="Arial"/>
          <w:szCs w:val="22"/>
        </w:rPr>
        <w:t>.</w:t>
      </w:r>
    </w:p>
    <w:p w14:paraId="0AFCB737" w14:textId="77777777" w:rsidR="00C40668" w:rsidRDefault="00C40668" w:rsidP="00C40668">
      <w:pPr>
        <w:rPr>
          <w:rStyle w:val="normaltextrun"/>
          <w:rFonts w:eastAsiaTheme="majorEastAsia" w:cs="Arial"/>
          <w:szCs w:val="22"/>
        </w:rPr>
      </w:pPr>
    </w:p>
    <w:p w14:paraId="08CACA77" w14:textId="134B0F25" w:rsidR="00D43617" w:rsidRDefault="00D43617" w:rsidP="00D43617">
      <w:bookmarkStart w:id="5" w:name="_Hlk115796024"/>
      <w:r>
        <w:t>Suomen julkisen talouden suorituskyky ei riitä pitkällä aikavälillä julkisen sektorin lakisääteisiin ja muihin tarpeisiin, mikä vaikuttanee tulevaisuudessa myös Verohallinnon käytettävissä oleviin resursseihin. Valtiovarainministeriön arvion</w:t>
      </w:r>
      <w:r w:rsidR="008627C0">
        <w:t xml:space="preserve"> </w:t>
      </w:r>
      <w:r>
        <w:t xml:space="preserve">mukaan julkisen talouden rakenteellinen tulojen ja menojen välinen epätasapaino on noin 9 mrd. euroa. </w:t>
      </w:r>
      <w:r w:rsidRPr="00A249B9">
        <w:t>Nähtävissä oleva vaimea talouskasvu ei riitä korjaamaan</w:t>
      </w:r>
      <w:r>
        <w:t xml:space="preserve"> tätä</w:t>
      </w:r>
      <w:r w:rsidRPr="00A249B9">
        <w:t xml:space="preserve"> julkisen talouden epätasapainoa lähitulevaisuudessa. </w:t>
      </w:r>
    </w:p>
    <w:p w14:paraId="66C5F831" w14:textId="77777777" w:rsidR="00D43617" w:rsidRDefault="00D43617" w:rsidP="00D43617"/>
    <w:p w14:paraId="53CF5C25" w14:textId="77777777" w:rsidR="00D43617" w:rsidRDefault="00D43617" w:rsidP="00D43617">
      <w:r>
        <w:t>I</w:t>
      </w:r>
      <w:r w:rsidRPr="006F5A56">
        <w:t xml:space="preserve">äkkään vanhusväestön määrän kasvu lisää </w:t>
      </w:r>
      <w:r>
        <w:t xml:space="preserve">eläkemenojen lisäksi </w:t>
      </w:r>
      <w:r w:rsidRPr="006F5A56">
        <w:t>lähivuosikymmeninä hoiva- ja terveysmenoja, joiden rahoittamiseksi nykyinen kokonaisveroaste ei tulevaisuudessa riitä. Samaan aikaan työikäinen väestö, jo</w:t>
      </w:r>
      <w:r>
        <w:t>n</w:t>
      </w:r>
      <w:r w:rsidRPr="006F5A56">
        <w:t xml:space="preserve">ka </w:t>
      </w:r>
      <w:r>
        <w:t xml:space="preserve">tulisi maksamillaan </w:t>
      </w:r>
      <w:r w:rsidRPr="006F5A56">
        <w:t>veroilla rahoittaa julkiset palvelut ja sosiaaliturva, supistuu.</w:t>
      </w:r>
    </w:p>
    <w:p w14:paraId="550EEA4E" w14:textId="77777777" w:rsidR="00D43617" w:rsidRDefault="00D43617" w:rsidP="00D43617"/>
    <w:p w14:paraId="383F9DA2" w14:textId="10AA51F7" w:rsidR="00D43617" w:rsidRPr="00A249B9" w:rsidRDefault="00D43617" w:rsidP="00D43617">
      <w:r>
        <w:lastRenderedPageBreak/>
        <w:t>J</w:t>
      </w:r>
      <w:r w:rsidRPr="00B02B08">
        <w:t xml:space="preserve">ulkiseen talouteen kohdistuu myös muita paineita, jotka johtuvat </w:t>
      </w:r>
      <w:r>
        <w:t>mm.</w:t>
      </w:r>
      <w:r w:rsidRPr="00B02B08">
        <w:t xml:space="preserve"> </w:t>
      </w:r>
      <w:r w:rsidRPr="00577DD8">
        <w:t>hyvinvointialueiden aloitukseen liittyv</w:t>
      </w:r>
      <w:r>
        <w:t xml:space="preserve">istä kustannuksista, </w:t>
      </w:r>
      <w:r w:rsidRPr="00B02B08">
        <w:t>varautumisesta uuteen heikentyneeseen turvallisuusympäristöön</w:t>
      </w:r>
      <w:r>
        <w:t xml:space="preserve"> sekä energiakriisin aiheuttamista tukitoimista. </w:t>
      </w:r>
      <w:r w:rsidR="006168B1">
        <w:t xml:space="preserve">Julkista taloutta </w:t>
      </w:r>
      <w:r w:rsidR="000B0231">
        <w:t>heikentävä</w:t>
      </w:r>
      <w:r w:rsidR="006168B1">
        <w:t xml:space="preserve">t myös nopeasti nousevat korot </w:t>
      </w:r>
      <w:r w:rsidR="0074664B">
        <w:t>sekä</w:t>
      </w:r>
      <w:r w:rsidR="006168B1">
        <w:t xml:space="preserve"> inflaatio</w:t>
      </w:r>
      <w:r w:rsidR="0074664B">
        <w:t>, joka kasvattaa etuuksien indeksikorotuksia</w:t>
      </w:r>
      <w:r w:rsidR="000B0231">
        <w:t>.</w:t>
      </w:r>
      <w:r w:rsidR="008853A5">
        <w:t xml:space="preserve"> </w:t>
      </w:r>
      <w:r>
        <w:t xml:space="preserve">Valtiovarainministeriö toteaa syksyn 2022 talouskatsauksessaan, että on syytä varautua tarkastelemaan julkisen sektorin tarpeita kokonaisuutena ja kriittisesti. </w:t>
      </w:r>
    </w:p>
    <w:p w14:paraId="7B8F2DE2" w14:textId="77777777" w:rsidR="00D43617" w:rsidRDefault="00D43617" w:rsidP="00D43617"/>
    <w:p w14:paraId="3EE035BB" w14:textId="6EA5FD39" w:rsidR="00D43617" w:rsidRDefault="00D43617" w:rsidP="00D43617">
      <w:pPr>
        <w:rPr>
          <w:rStyle w:val="normaltextrun"/>
          <w:rFonts w:eastAsiaTheme="majorEastAsia" w:cs="Arial"/>
          <w:szCs w:val="22"/>
        </w:rPr>
      </w:pPr>
      <w:r w:rsidRPr="00C94F34">
        <w:t xml:space="preserve">Osana tehostamista </w:t>
      </w:r>
      <w:r w:rsidRPr="00C94F34">
        <w:rPr>
          <w:rStyle w:val="normaltextrun"/>
          <w:rFonts w:eastAsiaTheme="majorEastAsia" w:cs="Arial"/>
          <w:szCs w:val="22"/>
        </w:rPr>
        <w:t xml:space="preserve">julkisen hallinnon uudistamisen strategiaa toimeenpannaan laaja-alaisesti seuraavan 10 vuoden aikana. Tavoitteena on </w:t>
      </w:r>
      <w:r w:rsidR="0058724F">
        <w:rPr>
          <w:rStyle w:val="normaltextrun"/>
          <w:rFonts w:eastAsiaTheme="majorEastAsia" w:cs="Arial"/>
          <w:szCs w:val="22"/>
        </w:rPr>
        <w:t xml:space="preserve">turvata </w:t>
      </w:r>
      <w:r w:rsidR="0058724F" w:rsidRPr="00C94F34">
        <w:rPr>
          <w:rStyle w:val="normaltextrun"/>
          <w:rFonts w:eastAsiaTheme="majorEastAsia" w:cs="Arial"/>
          <w:szCs w:val="22"/>
        </w:rPr>
        <w:t>valtion palveluiden saatavuus</w:t>
      </w:r>
      <w:r w:rsidR="0058724F">
        <w:rPr>
          <w:rStyle w:val="normaltextrun"/>
          <w:rFonts w:eastAsiaTheme="majorEastAsia" w:cs="Arial"/>
          <w:szCs w:val="22"/>
        </w:rPr>
        <w:t xml:space="preserve"> </w:t>
      </w:r>
      <w:r w:rsidRPr="00C94F34">
        <w:rPr>
          <w:rStyle w:val="normaltextrun"/>
          <w:rFonts w:eastAsiaTheme="majorEastAsia" w:cs="Arial"/>
          <w:szCs w:val="22"/>
        </w:rPr>
        <w:t>mm.</w:t>
      </w:r>
      <w:r w:rsidR="0058724F">
        <w:rPr>
          <w:rStyle w:val="normaltextrun"/>
          <w:rFonts w:eastAsiaTheme="majorEastAsia" w:cs="Arial"/>
          <w:szCs w:val="22"/>
        </w:rPr>
        <w:t xml:space="preserve"> kehittämällä valtion palveluita ja palveluverkkoja yhteistyössä eri toimijoiden kanssa, </w:t>
      </w:r>
      <w:r w:rsidRPr="00C94F34">
        <w:rPr>
          <w:rStyle w:val="normaltextrun"/>
          <w:rFonts w:eastAsiaTheme="majorEastAsia" w:cs="Arial"/>
          <w:szCs w:val="22"/>
        </w:rPr>
        <w:t>siirty</w:t>
      </w:r>
      <w:r w:rsidR="0058724F">
        <w:rPr>
          <w:rStyle w:val="normaltextrun"/>
          <w:rFonts w:eastAsiaTheme="majorEastAsia" w:cs="Arial"/>
          <w:szCs w:val="22"/>
        </w:rPr>
        <w:t>mällä</w:t>
      </w:r>
      <w:r w:rsidRPr="00C94F34">
        <w:rPr>
          <w:rStyle w:val="normaltextrun"/>
          <w:rFonts w:eastAsiaTheme="majorEastAsia" w:cs="Arial"/>
          <w:szCs w:val="22"/>
        </w:rPr>
        <w:t xml:space="preserve"> virastojen aukiolon sääntelystä valtion viranomaisen aukiolon sääntelyyn</w:t>
      </w:r>
      <w:r w:rsidR="0058724F">
        <w:rPr>
          <w:rStyle w:val="normaltextrun"/>
          <w:rFonts w:eastAsiaTheme="majorEastAsia" w:cs="Arial"/>
          <w:szCs w:val="22"/>
        </w:rPr>
        <w:t xml:space="preserve"> (</w:t>
      </w:r>
      <w:hyperlink r:id="rId9" w:history="1">
        <w:r w:rsidR="0058724F" w:rsidRPr="0001064C">
          <w:rPr>
            <w:rStyle w:val="Hyperlinkki"/>
            <w:rFonts w:eastAsiaTheme="majorEastAsia" w:cs="Arial"/>
            <w:szCs w:val="22"/>
          </w:rPr>
          <w:t>HE 73/2022</w:t>
        </w:r>
      </w:hyperlink>
      <w:r w:rsidR="0058724F">
        <w:rPr>
          <w:rStyle w:val="normaltextrun"/>
          <w:rFonts w:eastAsiaTheme="majorEastAsia" w:cs="Arial"/>
          <w:szCs w:val="22"/>
        </w:rPr>
        <w:t>)</w:t>
      </w:r>
      <w:r w:rsidRPr="00C94F34">
        <w:rPr>
          <w:rStyle w:val="normaltextrun"/>
          <w:rFonts w:eastAsiaTheme="majorEastAsia" w:cs="Arial"/>
          <w:szCs w:val="22"/>
        </w:rPr>
        <w:t xml:space="preserve">, </w:t>
      </w:r>
      <w:r w:rsidRPr="00C37E95">
        <w:rPr>
          <w:rStyle w:val="normaltextrun"/>
          <w:rFonts w:eastAsiaTheme="majorEastAsia" w:cs="Arial"/>
          <w:szCs w:val="22"/>
        </w:rPr>
        <w:t>huomioi</w:t>
      </w:r>
      <w:r w:rsidR="0058724F">
        <w:rPr>
          <w:rStyle w:val="normaltextrun"/>
          <w:rFonts w:eastAsiaTheme="majorEastAsia" w:cs="Arial"/>
          <w:szCs w:val="22"/>
        </w:rPr>
        <w:t>malla</w:t>
      </w:r>
      <w:r w:rsidRPr="00C37E95">
        <w:rPr>
          <w:rStyle w:val="normaltextrun"/>
          <w:rFonts w:eastAsiaTheme="majorEastAsia" w:cs="Arial"/>
          <w:szCs w:val="22"/>
        </w:rPr>
        <w:t xml:space="preserve"> erilaiset palvelukanavat</w:t>
      </w:r>
      <w:r w:rsidR="0058724F">
        <w:rPr>
          <w:rStyle w:val="normaltextrun"/>
          <w:rFonts w:eastAsiaTheme="majorEastAsia" w:cs="Arial"/>
          <w:szCs w:val="22"/>
        </w:rPr>
        <w:t xml:space="preserve"> sekä</w:t>
      </w:r>
      <w:r>
        <w:rPr>
          <w:rStyle w:val="normaltextrun"/>
          <w:rFonts w:eastAsiaTheme="majorEastAsia" w:cs="Arial"/>
          <w:szCs w:val="22"/>
        </w:rPr>
        <w:t xml:space="preserve"> </w:t>
      </w:r>
      <w:r w:rsidRPr="00C94F34">
        <w:rPr>
          <w:rStyle w:val="normaltextrun"/>
          <w:rFonts w:eastAsiaTheme="majorEastAsia" w:cs="Arial"/>
          <w:szCs w:val="22"/>
        </w:rPr>
        <w:t>mahdollista</w:t>
      </w:r>
      <w:r w:rsidR="0058724F">
        <w:rPr>
          <w:rStyle w:val="normaltextrun"/>
          <w:rFonts w:eastAsiaTheme="majorEastAsia" w:cs="Arial"/>
          <w:szCs w:val="22"/>
        </w:rPr>
        <w:t>mall</w:t>
      </w:r>
      <w:r w:rsidRPr="00C94F34">
        <w:rPr>
          <w:rStyle w:val="normaltextrun"/>
          <w:rFonts w:eastAsiaTheme="majorEastAsia" w:cs="Arial"/>
          <w:szCs w:val="22"/>
        </w:rPr>
        <w:t>a valtion viranomaisten aukioloaikojen joustava</w:t>
      </w:r>
      <w:r w:rsidR="0058724F">
        <w:rPr>
          <w:rStyle w:val="normaltextrun"/>
          <w:rFonts w:eastAsiaTheme="majorEastAsia" w:cs="Arial"/>
          <w:szCs w:val="22"/>
        </w:rPr>
        <w:t xml:space="preserve"> käyttö.</w:t>
      </w:r>
      <w:r w:rsidRPr="00C94F34">
        <w:rPr>
          <w:rStyle w:val="normaltextrun"/>
          <w:rFonts w:eastAsiaTheme="majorEastAsia" w:cs="Arial"/>
          <w:szCs w:val="22"/>
        </w:rPr>
        <w:t xml:space="preserve"> </w:t>
      </w:r>
    </w:p>
    <w:p w14:paraId="3A7A1FE0" w14:textId="77777777" w:rsidR="00D43617" w:rsidRPr="00BD1394" w:rsidRDefault="00D43617" w:rsidP="00D43617">
      <w:pPr>
        <w:rPr>
          <w:rStyle w:val="eop"/>
          <w:rFonts w:cs="Arial"/>
          <w:color w:val="0070C0"/>
          <w:szCs w:val="22"/>
        </w:rPr>
      </w:pPr>
    </w:p>
    <w:p w14:paraId="7A259F26" w14:textId="270CE2A3" w:rsidR="00D43617" w:rsidRDefault="00D43617" w:rsidP="00D43617">
      <w:r w:rsidRPr="00DA1BEC">
        <w:t xml:space="preserve">Verohallinto kohtaa </w:t>
      </w:r>
      <w:r>
        <w:t xml:space="preserve">työnantajana </w:t>
      </w:r>
      <w:r w:rsidRPr="00DA1BEC">
        <w:t>samoja muutoksia kuin muutkin työnantajat Suomessa. Osaavasta työvoimasta on pulaa ja yritysten on vaikea löytää tarvitsemiaan työntekijöitä</w:t>
      </w:r>
      <w:r>
        <w:t>.</w:t>
      </w:r>
      <w:r w:rsidRPr="00DA1BEC">
        <w:t xml:space="preserve"> Eläköityminen jatkuu nopeana ja osaamistarpeet muuttuva</w:t>
      </w:r>
      <w:r>
        <w:t>t</w:t>
      </w:r>
      <w:r w:rsidRPr="00DA1BEC">
        <w:t xml:space="preserve"> teknologisen kehityksen myötä. </w:t>
      </w:r>
      <w:r>
        <w:t xml:space="preserve">Verohallinto kilpailee muiden yritysten kanssa </w:t>
      </w:r>
      <w:r w:rsidRPr="00DA1BEC">
        <w:t>erityisesti digitaalisuuden hyödyntämise</w:t>
      </w:r>
      <w:r>
        <w:t>n</w:t>
      </w:r>
      <w:r w:rsidRPr="00DA1BEC">
        <w:t xml:space="preserve">, </w:t>
      </w:r>
      <w:r>
        <w:t>pilviteknologian</w:t>
      </w:r>
      <w:r w:rsidRPr="00DA1BEC">
        <w:t xml:space="preserve"> ja kyberturvallisuu</w:t>
      </w:r>
      <w:r>
        <w:t>den</w:t>
      </w:r>
      <w:r w:rsidRPr="00DA1BEC">
        <w:t xml:space="preserve"> osaajista. Kehittämistä tehdään yhä enemmän ekosysteemeissä, mikä vaatii uudenlaista osaamista ja toimintamalleja. Jatkuva muutos edellyttää </w:t>
      </w:r>
      <w:r>
        <w:t xml:space="preserve">myös </w:t>
      </w:r>
      <w:r w:rsidRPr="00DA1BEC">
        <w:t xml:space="preserve">joustavia ja muuttuvia toimenkuvia. </w:t>
      </w:r>
    </w:p>
    <w:p w14:paraId="10577FA6" w14:textId="77777777" w:rsidR="00D43617" w:rsidRPr="00F408A6" w:rsidRDefault="00D43617" w:rsidP="00D43617">
      <w:pPr>
        <w:rPr>
          <w:rStyle w:val="normaltextrun"/>
          <w:rFonts w:eastAsiaTheme="majorEastAsia" w:cs="Arial"/>
          <w:szCs w:val="22"/>
        </w:rPr>
      </w:pPr>
    </w:p>
    <w:p w14:paraId="027B74BE" w14:textId="5BF88C4E" w:rsidR="00431F37" w:rsidRPr="00D43617" w:rsidRDefault="00D43617" w:rsidP="00EB1124">
      <w:pPr>
        <w:rPr>
          <w:rFonts w:eastAsiaTheme="majorEastAsia" w:cs="Arial"/>
          <w:szCs w:val="22"/>
        </w:rPr>
      </w:pPr>
      <w:r w:rsidRPr="00F408A6">
        <w:rPr>
          <w:rStyle w:val="normaltextrun"/>
          <w:rFonts w:eastAsiaTheme="majorEastAsia" w:cs="Arial"/>
          <w:szCs w:val="22"/>
        </w:rPr>
        <w:t xml:space="preserve">Työ monimuotoistuu ja monipaikkaistuu, ja työtä tehdään enemmän verkostomaisesti ja yhteistyössä muiden toimijoiden kanssa. </w:t>
      </w:r>
      <w:r w:rsidRPr="00F408A6">
        <w:rPr>
          <w:rStyle w:val="eop"/>
          <w:rFonts w:cs="Arial"/>
          <w:szCs w:val="22"/>
        </w:rPr>
        <w:t xml:space="preserve">Työn tekemisen tapa muuttui pandemian myötä ja monissa organisaatioissa käyttöön otettu hybridimalli hakee vielä lopullista muotoaan. </w:t>
      </w:r>
      <w:r w:rsidRPr="00F408A6">
        <w:rPr>
          <w:rStyle w:val="normaltextrun"/>
          <w:rFonts w:eastAsiaTheme="majorEastAsia" w:cs="Arial"/>
          <w:szCs w:val="22"/>
        </w:rPr>
        <w:t xml:space="preserve"> Etä- ja lähityön erilaiset yhdistelmät edellyttävät johtamisen ja esimiestyön jatkuvaa kehittämistä, jotta ihmisten erilaiset osaamiset, kokemukset ja kyvyt pääsevät esiin myös työn hybridimallissa.</w:t>
      </w:r>
    </w:p>
    <w:bookmarkEnd w:id="5"/>
    <w:p w14:paraId="39AD8A7C" w14:textId="51A68B91" w:rsidR="00431F37" w:rsidRDefault="00431F37" w:rsidP="00EB1124"/>
    <w:p w14:paraId="7D450F51" w14:textId="5D6987DE" w:rsidR="00431F37" w:rsidRDefault="00431F37" w:rsidP="00EB1124"/>
    <w:p w14:paraId="25B9C6E6" w14:textId="77777777" w:rsidR="00E5732B" w:rsidRDefault="00E5732B">
      <w:pPr>
        <w:overflowPunct/>
        <w:autoSpaceDE/>
        <w:autoSpaceDN/>
        <w:adjustRightInd/>
        <w:jc w:val="left"/>
        <w:textAlignment w:val="auto"/>
        <w:rPr>
          <w:rFonts w:eastAsiaTheme="majorEastAsia" w:cs="Arial"/>
          <w:b/>
          <w:bCs/>
          <w:caps/>
          <w:sz w:val="26"/>
        </w:rPr>
      </w:pPr>
      <w:bookmarkStart w:id="6" w:name="_Toc85206897"/>
      <w:r>
        <w:br w:type="page"/>
      </w:r>
    </w:p>
    <w:p w14:paraId="51D4DB70" w14:textId="3D1D768B" w:rsidR="007A3E75" w:rsidRDefault="00431F37" w:rsidP="00431F37">
      <w:pPr>
        <w:pStyle w:val="Otsikko1"/>
      </w:pPr>
      <w:bookmarkStart w:id="7" w:name="_Toc116560487"/>
      <w:r w:rsidRPr="00431F37">
        <w:lastRenderedPageBreak/>
        <w:t xml:space="preserve">Verohallinnon </w:t>
      </w:r>
      <w:bookmarkEnd w:id="6"/>
      <w:r w:rsidR="00665DBF">
        <w:t>tulossopimusmittaristo</w:t>
      </w:r>
      <w:bookmarkEnd w:id="7"/>
    </w:p>
    <w:p w14:paraId="206700E6" w14:textId="679522D3" w:rsidR="00873E91" w:rsidRDefault="00873E91" w:rsidP="000F0D4C">
      <w:pPr>
        <w:rPr>
          <w:rStyle w:val="eop"/>
          <w:rFonts w:eastAsiaTheme="majorEastAsia" w:cs="Arial"/>
          <w:color w:val="FF0000"/>
          <w:sz w:val="18"/>
          <w:szCs w:val="18"/>
          <w:shd w:val="clear" w:color="auto" w:fill="FFFFFF"/>
        </w:rPr>
      </w:pPr>
    </w:p>
    <w:p w14:paraId="710069DC" w14:textId="18F777ED" w:rsidR="000F0D4C" w:rsidRDefault="000F0D4C" w:rsidP="000F0D4C">
      <w:pPr>
        <w:rPr>
          <w:rStyle w:val="normaltextrun"/>
          <w:rFonts w:eastAsiaTheme="majorEastAsia" w:cs="Arial"/>
          <w:szCs w:val="22"/>
        </w:rPr>
      </w:pPr>
      <w:r>
        <w:rPr>
          <w:rStyle w:val="normaltextrun"/>
          <w:rFonts w:eastAsiaTheme="majorEastAsia" w:cs="Arial"/>
          <w:szCs w:val="22"/>
        </w:rPr>
        <w:t>Valtiovarainministeriön hallinnonalan strategista suunnittelua ohjaavat hallitusohjelma ja VM:n strategiset linjaukset.  Virastojen kanssa laadittavat tulossopimukset perustuvat virastojen strategioiden toimeenpanoon ja ministeriön asettamiin vaikuttavuus- ja tuloksellisuustavoitteisiin. Tavoitteet sovitaan vuosittaisessa toiminnan- ja taloudensuunnitteluprosessissa.</w:t>
      </w:r>
    </w:p>
    <w:p w14:paraId="37EA0872" w14:textId="77777777" w:rsidR="000F0D4C" w:rsidRDefault="000F0D4C" w:rsidP="000F0D4C">
      <w:pPr>
        <w:rPr>
          <w:rStyle w:val="normaltextrun"/>
          <w:rFonts w:eastAsiaTheme="majorEastAsia" w:cs="Arial"/>
          <w:szCs w:val="22"/>
        </w:rPr>
      </w:pPr>
    </w:p>
    <w:p w14:paraId="2852CA11" w14:textId="1A98A94D" w:rsidR="000F0D4C" w:rsidRDefault="000F0D4C" w:rsidP="000F0D4C">
      <w:pPr>
        <w:rPr>
          <w:rStyle w:val="normaltextrun"/>
          <w:rFonts w:eastAsiaTheme="majorEastAsia" w:cs="Arial"/>
          <w:szCs w:val="22"/>
        </w:rPr>
      </w:pPr>
      <w:r>
        <w:rPr>
          <w:rStyle w:val="normaltextrun"/>
          <w:rFonts w:eastAsiaTheme="majorEastAsia" w:cs="Arial"/>
          <w:szCs w:val="22"/>
        </w:rPr>
        <w:t xml:space="preserve">Valtiovarainministeriön ja Verohallinnon välisissä vuosittaisissa tulossopimuksissa esitetään sopimusvuotta koskevat tulossopimusmittarit tavoitearvoineen sekä sopimusvuotta seuraavien kolmen vuoden ennakolliset tavoitteet. </w:t>
      </w:r>
      <w:r>
        <w:rPr>
          <w:rStyle w:val="eop"/>
          <w:rFonts w:eastAsiaTheme="majorEastAsia" w:cs="Arial"/>
          <w:szCs w:val="22"/>
        </w:rPr>
        <w:t>Kunkin vuoden joulukuussa julkaistaan seuraavaa kalenterivuotta koskeva tulossopimus.</w:t>
      </w:r>
      <w:r w:rsidR="007E4387">
        <w:rPr>
          <w:rStyle w:val="eop"/>
          <w:rFonts w:eastAsiaTheme="majorEastAsia" w:cs="Arial"/>
          <w:szCs w:val="22"/>
        </w:rPr>
        <w:t xml:space="preserve"> Taulu</w:t>
      </w:r>
      <w:r w:rsidR="0063439F">
        <w:rPr>
          <w:rStyle w:val="eop"/>
          <w:rFonts w:eastAsiaTheme="majorEastAsia" w:cs="Arial"/>
          <w:szCs w:val="22"/>
        </w:rPr>
        <w:t>k</w:t>
      </w:r>
      <w:r w:rsidR="003B43A1">
        <w:rPr>
          <w:rStyle w:val="eop"/>
          <w:rFonts w:eastAsiaTheme="majorEastAsia" w:cs="Arial"/>
          <w:szCs w:val="22"/>
        </w:rPr>
        <w:t>koon</w:t>
      </w:r>
      <w:r w:rsidR="0063439F">
        <w:rPr>
          <w:rStyle w:val="eop"/>
          <w:rFonts w:eastAsiaTheme="majorEastAsia" w:cs="Arial"/>
          <w:szCs w:val="22"/>
        </w:rPr>
        <w:t xml:space="preserve"> 1 on koottu </w:t>
      </w:r>
      <w:r w:rsidR="00780105">
        <w:rPr>
          <w:rStyle w:val="eop"/>
          <w:rFonts w:eastAsiaTheme="majorEastAsia" w:cs="Arial"/>
          <w:szCs w:val="22"/>
        </w:rPr>
        <w:t>tämän asiakirjan valmisteluvaiheen mukainen tulossopimusmittareiden ja niiden tavoittei</w:t>
      </w:r>
      <w:r w:rsidR="00813B1E">
        <w:rPr>
          <w:rStyle w:val="eop"/>
          <w:rFonts w:eastAsiaTheme="majorEastAsia" w:cs="Arial"/>
          <w:szCs w:val="22"/>
        </w:rPr>
        <w:t>den tilanne.</w:t>
      </w:r>
      <w:r>
        <w:rPr>
          <w:rStyle w:val="eop"/>
          <w:rFonts w:eastAsiaTheme="majorEastAsia" w:cs="Arial"/>
          <w:szCs w:val="22"/>
        </w:rPr>
        <w:t xml:space="preserve"> </w:t>
      </w:r>
      <w:r w:rsidR="00122EE7">
        <w:rPr>
          <w:rStyle w:val="eop"/>
          <w:rFonts w:eastAsiaTheme="majorEastAsia" w:cs="Arial"/>
          <w:szCs w:val="22"/>
        </w:rPr>
        <w:t>Vahvistetut t</w:t>
      </w:r>
      <w:r>
        <w:rPr>
          <w:rStyle w:val="normaltextrun"/>
          <w:rFonts w:eastAsiaTheme="majorEastAsia" w:cs="Arial"/>
          <w:szCs w:val="22"/>
        </w:rPr>
        <w:t>ulossopimukset löytyvät Verohallinnon verkkosivuilta seuraavasta osoitteesta:</w:t>
      </w:r>
    </w:p>
    <w:p w14:paraId="0B1EC10D" w14:textId="77777777" w:rsidR="000F0D4C" w:rsidRDefault="007F3CB0" w:rsidP="000F0D4C">
      <w:pPr>
        <w:rPr>
          <w:rStyle w:val="eop"/>
          <w:rFonts w:eastAsiaTheme="majorEastAsia" w:cs="Arial"/>
          <w:szCs w:val="22"/>
        </w:rPr>
      </w:pPr>
      <w:hyperlink r:id="rId10" w:history="1">
        <w:r w:rsidR="000F0D4C" w:rsidRPr="00B36B6D">
          <w:rPr>
            <w:rStyle w:val="Hyperlinkki"/>
            <w:rFonts w:eastAsiaTheme="majorEastAsia" w:cs="Arial"/>
            <w:sz w:val="18"/>
            <w:szCs w:val="18"/>
          </w:rPr>
          <w:t>https://vero.fi/tietoa-verohallinnosta/verohallinnon_esittely/toiminta/vastuullisuus/verohallinnon_tulosohjausasiakirja</w:t>
        </w:r>
        <w:r w:rsidR="000F0D4C" w:rsidRPr="00B36B6D">
          <w:rPr>
            <w:rStyle w:val="Hyperlinkki"/>
            <w:rFonts w:eastAsiaTheme="majorEastAsia" w:cs="Arial"/>
            <w:szCs w:val="22"/>
          </w:rPr>
          <w:t>/</w:t>
        </w:r>
      </w:hyperlink>
      <w:r w:rsidR="000F0D4C" w:rsidRPr="00317405">
        <w:rPr>
          <w:rStyle w:val="eop"/>
          <w:rFonts w:eastAsiaTheme="majorEastAsia" w:cs="Arial"/>
          <w:szCs w:val="22"/>
        </w:rPr>
        <w:t> </w:t>
      </w:r>
    </w:p>
    <w:p w14:paraId="35E0BF27" w14:textId="6B518ADC" w:rsidR="000F0D4C" w:rsidRDefault="000F0D4C" w:rsidP="000F0D4C">
      <w:pPr>
        <w:rPr>
          <w:rStyle w:val="eop"/>
          <w:rFonts w:eastAsiaTheme="majorEastAsia" w:cs="Arial"/>
        </w:rPr>
      </w:pPr>
    </w:p>
    <w:p w14:paraId="56290D48" w14:textId="331E8713" w:rsidR="000C023E" w:rsidRPr="00581AF9" w:rsidRDefault="000C023E" w:rsidP="000C023E">
      <w:pPr>
        <w:rPr>
          <w:rStyle w:val="eop"/>
          <w:rFonts w:eastAsiaTheme="majorEastAsia" w:cs="Arial"/>
          <w:sz w:val="20"/>
        </w:rPr>
      </w:pPr>
      <w:r w:rsidRPr="000C023E">
        <w:rPr>
          <w:rStyle w:val="eop"/>
          <w:rFonts w:eastAsiaTheme="majorEastAsia" w:cs="Arial"/>
          <w:b/>
          <w:bCs/>
          <w:sz w:val="20"/>
        </w:rPr>
        <w:t xml:space="preserve">Taulukko 1. </w:t>
      </w:r>
      <w:r w:rsidRPr="00581AF9">
        <w:rPr>
          <w:rStyle w:val="eop"/>
          <w:rFonts w:eastAsiaTheme="majorEastAsia" w:cs="Arial"/>
          <w:sz w:val="20"/>
        </w:rPr>
        <w:t xml:space="preserve">Valtiovarainministeriön ja Verohallinnon </w:t>
      </w:r>
      <w:r w:rsidR="00581AF9">
        <w:rPr>
          <w:rStyle w:val="eop"/>
          <w:rFonts w:eastAsiaTheme="majorEastAsia" w:cs="Arial"/>
          <w:sz w:val="20"/>
        </w:rPr>
        <w:t xml:space="preserve">välisen </w:t>
      </w:r>
      <w:r w:rsidRPr="00581AF9">
        <w:rPr>
          <w:rStyle w:val="eop"/>
          <w:rFonts w:eastAsiaTheme="majorEastAsia" w:cs="Arial"/>
          <w:sz w:val="20"/>
        </w:rPr>
        <w:t>tulossopimu</w:t>
      </w:r>
      <w:r w:rsidR="00581AF9">
        <w:rPr>
          <w:rStyle w:val="eop"/>
          <w:rFonts w:eastAsiaTheme="majorEastAsia" w:cs="Arial"/>
          <w:sz w:val="20"/>
        </w:rPr>
        <w:t xml:space="preserve">ksen </w:t>
      </w:r>
      <w:r w:rsidR="00C746E3" w:rsidRPr="00581AF9">
        <w:rPr>
          <w:rStyle w:val="eop"/>
          <w:rFonts w:eastAsiaTheme="majorEastAsia" w:cs="Arial"/>
          <w:sz w:val="20"/>
        </w:rPr>
        <w:t>2023</w:t>
      </w:r>
      <w:r w:rsidR="004F49B6">
        <w:rPr>
          <w:rStyle w:val="eop"/>
          <w:rFonts w:eastAsiaTheme="majorEastAsia" w:cs="Arial"/>
          <w:sz w:val="20"/>
        </w:rPr>
        <w:t xml:space="preserve"> </w:t>
      </w:r>
      <w:r w:rsidR="00FF7A73" w:rsidRPr="00581AF9">
        <w:rPr>
          <w:rStyle w:val="eop"/>
          <w:rFonts w:eastAsiaTheme="majorEastAsia" w:cs="Arial"/>
          <w:sz w:val="20"/>
        </w:rPr>
        <w:t>mittari</w:t>
      </w:r>
      <w:r w:rsidR="00FF7A73">
        <w:rPr>
          <w:rStyle w:val="eop"/>
          <w:rFonts w:eastAsiaTheme="majorEastAsia" w:cs="Arial"/>
          <w:sz w:val="20"/>
        </w:rPr>
        <w:t>sto</w:t>
      </w:r>
      <w:r w:rsidR="00FF7A73" w:rsidRPr="00581AF9">
        <w:rPr>
          <w:rStyle w:val="eop"/>
          <w:rFonts w:eastAsiaTheme="majorEastAsia" w:cs="Arial"/>
          <w:sz w:val="20"/>
        </w:rPr>
        <w:t xml:space="preserve"> </w:t>
      </w:r>
      <w:r w:rsidR="004F49B6">
        <w:rPr>
          <w:rStyle w:val="eop"/>
          <w:rFonts w:eastAsiaTheme="majorEastAsia" w:cs="Arial"/>
          <w:sz w:val="20"/>
        </w:rPr>
        <w:t xml:space="preserve">ja </w:t>
      </w:r>
      <w:r w:rsidR="00685DE1">
        <w:rPr>
          <w:rStyle w:val="eop"/>
          <w:rFonts w:eastAsiaTheme="majorEastAsia" w:cs="Arial"/>
          <w:sz w:val="20"/>
        </w:rPr>
        <w:t>t</w:t>
      </w:r>
      <w:r w:rsidR="004733F1">
        <w:rPr>
          <w:rStyle w:val="eop"/>
          <w:rFonts w:eastAsiaTheme="majorEastAsia" w:cs="Arial"/>
          <w:sz w:val="20"/>
        </w:rPr>
        <w:t>avoi</w:t>
      </w:r>
      <w:r w:rsidR="009128E8">
        <w:rPr>
          <w:rStyle w:val="eop"/>
          <w:rFonts w:eastAsiaTheme="majorEastAsia" w:cs="Arial"/>
          <w:sz w:val="20"/>
        </w:rPr>
        <w:t>tteet</w:t>
      </w:r>
      <w:r w:rsidR="00C746E3" w:rsidRPr="00581AF9">
        <w:rPr>
          <w:rStyle w:val="eop"/>
          <w:rFonts w:eastAsiaTheme="majorEastAsia" w:cs="Arial"/>
          <w:sz w:val="20"/>
        </w:rPr>
        <w:t xml:space="preserve"> (valmistelun tilanne </w:t>
      </w:r>
      <w:r w:rsidR="00581AF9" w:rsidRPr="00581AF9">
        <w:rPr>
          <w:rStyle w:val="eop"/>
          <w:rFonts w:eastAsiaTheme="majorEastAsia" w:cs="Arial"/>
          <w:sz w:val="20"/>
        </w:rPr>
        <w:t>5.10.2022)</w:t>
      </w:r>
    </w:p>
    <w:p w14:paraId="639E978E" w14:textId="77777777" w:rsidR="000C023E" w:rsidRDefault="000C023E" w:rsidP="000F0D4C">
      <w:pPr>
        <w:rPr>
          <w:rStyle w:val="eop"/>
          <w:rFonts w:eastAsiaTheme="majorEastAsia" w:cs="Arial"/>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0"/>
        <w:gridCol w:w="850"/>
        <w:gridCol w:w="851"/>
        <w:gridCol w:w="850"/>
        <w:gridCol w:w="851"/>
        <w:gridCol w:w="850"/>
        <w:gridCol w:w="851"/>
      </w:tblGrid>
      <w:tr w:rsidR="1007C3B6" w14:paraId="2C31F752" w14:textId="77777777" w:rsidTr="00A504F1">
        <w:trPr>
          <w:trHeight w:val="570"/>
          <w:tblHeader/>
        </w:trPr>
        <w:tc>
          <w:tcPr>
            <w:tcW w:w="3686" w:type="dxa"/>
            <w:shd w:val="clear" w:color="auto" w:fill="D9D9D9" w:themeFill="accent3" w:themeFillShade="D9"/>
            <w:vAlign w:val="center"/>
          </w:tcPr>
          <w:p w14:paraId="5B6F80D2" w14:textId="3B32C87C" w:rsidR="1007C3B6" w:rsidRDefault="1007C3B6" w:rsidP="00A0184B">
            <w:pPr>
              <w:jc w:val="left"/>
            </w:pPr>
            <w:r w:rsidRPr="1007C3B6">
              <w:rPr>
                <w:rFonts w:ascii="Arial Narrow" w:eastAsia="Arial Narrow" w:hAnsi="Arial Narrow" w:cs="Arial Narrow"/>
                <w:b/>
                <w:bCs/>
                <w:sz w:val="18"/>
                <w:szCs w:val="18"/>
              </w:rPr>
              <w:t>Mittari</w:t>
            </w:r>
          </w:p>
        </w:tc>
        <w:tc>
          <w:tcPr>
            <w:tcW w:w="850" w:type="dxa"/>
            <w:shd w:val="clear" w:color="auto" w:fill="D9D9D9" w:themeFill="accent3" w:themeFillShade="D9"/>
            <w:vAlign w:val="center"/>
          </w:tcPr>
          <w:p w14:paraId="0921FCF7" w14:textId="56885B5A" w:rsidR="1007C3B6" w:rsidRDefault="1007C3B6" w:rsidP="1007C3B6">
            <w:pPr>
              <w:jc w:val="center"/>
            </w:pPr>
            <w:r w:rsidRPr="1007C3B6">
              <w:rPr>
                <w:rFonts w:ascii="Arial Narrow" w:eastAsia="Arial Narrow" w:hAnsi="Arial Narrow" w:cs="Arial Narrow"/>
                <w:b/>
                <w:bCs/>
                <w:color w:val="000000" w:themeColor="accent4"/>
                <w:sz w:val="18"/>
                <w:szCs w:val="18"/>
              </w:rPr>
              <w:t>Toteuma</w:t>
            </w:r>
          </w:p>
          <w:p w14:paraId="02AFABA5" w14:textId="1B3A2466" w:rsidR="1007C3B6" w:rsidRDefault="1007C3B6" w:rsidP="1007C3B6">
            <w:pPr>
              <w:jc w:val="center"/>
            </w:pPr>
            <w:r w:rsidRPr="1007C3B6">
              <w:rPr>
                <w:rFonts w:ascii="Arial Narrow" w:eastAsia="Arial Narrow" w:hAnsi="Arial Narrow" w:cs="Arial Narrow"/>
                <w:b/>
                <w:bCs/>
                <w:color w:val="000000" w:themeColor="accent4"/>
                <w:sz w:val="18"/>
                <w:szCs w:val="18"/>
              </w:rPr>
              <w:t>2021</w:t>
            </w:r>
          </w:p>
        </w:tc>
        <w:tc>
          <w:tcPr>
            <w:tcW w:w="850" w:type="dxa"/>
            <w:shd w:val="clear" w:color="auto" w:fill="D9D9D9" w:themeFill="accent3" w:themeFillShade="D9"/>
            <w:vAlign w:val="center"/>
          </w:tcPr>
          <w:p w14:paraId="77590D57" w14:textId="1C2B3D41" w:rsidR="1007C3B6" w:rsidRDefault="1007C3B6" w:rsidP="1007C3B6">
            <w:pPr>
              <w:jc w:val="center"/>
            </w:pPr>
            <w:r w:rsidRPr="1007C3B6">
              <w:rPr>
                <w:rFonts w:ascii="Arial Narrow" w:eastAsia="Arial Narrow" w:hAnsi="Arial Narrow" w:cs="Arial Narrow"/>
                <w:b/>
                <w:bCs/>
                <w:color w:val="000000" w:themeColor="accent4"/>
                <w:sz w:val="18"/>
                <w:szCs w:val="18"/>
              </w:rPr>
              <w:t>Tavoite</w:t>
            </w:r>
          </w:p>
          <w:p w14:paraId="4104E9BC" w14:textId="4A881E38" w:rsidR="1007C3B6" w:rsidRDefault="1007C3B6" w:rsidP="1007C3B6">
            <w:pPr>
              <w:jc w:val="center"/>
            </w:pPr>
            <w:r w:rsidRPr="1007C3B6">
              <w:rPr>
                <w:rFonts w:ascii="Arial Narrow" w:eastAsia="Arial Narrow" w:hAnsi="Arial Narrow" w:cs="Arial Narrow"/>
                <w:b/>
                <w:bCs/>
                <w:color w:val="000000" w:themeColor="accent4"/>
                <w:sz w:val="18"/>
                <w:szCs w:val="18"/>
              </w:rPr>
              <w:t>2022</w:t>
            </w:r>
          </w:p>
        </w:tc>
        <w:tc>
          <w:tcPr>
            <w:tcW w:w="851" w:type="dxa"/>
            <w:shd w:val="clear" w:color="auto" w:fill="D9D9D9" w:themeFill="accent3" w:themeFillShade="D9"/>
            <w:vAlign w:val="center"/>
          </w:tcPr>
          <w:p w14:paraId="66A49469" w14:textId="57356335" w:rsidR="1007C3B6" w:rsidRDefault="1007C3B6" w:rsidP="1007C3B6">
            <w:pPr>
              <w:jc w:val="center"/>
            </w:pPr>
            <w:r w:rsidRPr="1007C3B6">
              <w:rPr>
                <w:rFonts w:ascii="Arial Narrow" w:eastAsia="Arial Narrow" w:hAnsi="Arial Narrow" w:cs="Arial Narrow"/>
                <w:b/>
                <w:bCs/>
                <w:color w:val="000000" w:themeColor="accent4"/>
                <w:sz w:val="18"/>
                <w:szCs w:val="18"/>
              </w:rPr>
              <w:t>Ennuste/ toteuma</w:t>
            </w:r>
          </w:p>
          <w:p w14:paraId="5C6522B2" w14:textId="1729E9FE" w:rsidR="1007C3B6" w:rsidRDefault="1007C3B6" w:rsidP="1007C3B6">
            <w:pPr>
              <w:jc w:val="center"/>
            </w:pPr>
            <w:r w:rsidRPr="1007C3B6">
              <w:rPr>
                <w:rFonts w:ascii="Arial Narrow" w:eastAsia="Arial Narrow" w:hAnsi="Arial Narrow" w:cs="Arial Narrow"/>
                <w:b/>
                <w:bCs/>
                <w:color w:val="000000" w:themeColor="accent4"/>
                <w:sz w:val="18"/>
                <w:szCs w:val="18"/>
              </w:rPr>
              <w:t>2022</w:t>
            </w:r>
          </w:p>
        </w:tc>
        <w:tc>
          <w:tcPr>
            <w:tcW w:w="850" w:type="dxa"/>
            <w:shd w:val="clear" w:color="auto" w:fill="D9D9D9" w:themeFill="accent3" w:themeFillShade="D9"/>
            <w:vAlign w:val="center"/>
          </w:tcPr>
          <w:p w14:paraId="22860273" w14:textId="6A46AD17" w:rsidR="1007C3B6" w:rsidRDefault="1007C3B6" w:rsidP="1007C3B6">
            <w:pPr>
              <w:jc w:val="center"/>
            </w:pPr>
            <w:r w:rsidRPr="1007C3B6">
              <w:rPr>
                <w:rFonts w:ascii="Arial Narrow" w:eastAsia="Arial Narrow" w:hAnsi="Arial Narrow" w:cs="Arial Narrow"/>
                <w:b/>
                <w:bCs/>
                <w:color w:val="000000" w:themeColor="accent4"/>
                <w:sz w:val="18"/>
                <w:szCs w:val="18"/>
              </w:rPr>
              <w:t>Tavoite 2023</w:t>
            </w:r>
          </w:p>
        </w:tc>
        <w:tc>
          <w:tcPr>
            <w:tcW w:w="851" w:type="dxa"/>
            <w:shd w:val="clear" w:color="auto" w:fill="D9D9D9" w:themeFill="accent3" w:themeFillShade="D9"/>
            <w:vAlign w:val="center"/>
          </w:tcPr>
          <w:p w14:paraId="78B6083A" w14:textId="4B3C5B53" w:rsidR="1007C3B6" w:rsidRDefault="1007C3B6" w:rsidP="1007C3B6">
            <w:pPr>
              <w:jc w:val="center"/>
            </w:pPr>
            <w:r w:rsidRPr="1007C3B6">
              <w:rPr>
                <w:rFonts w:ascii="Arial Narrow" w:eastAsia="Arial Narrow" w:hAnsi="Arial Narrow" w:cs="Arial Narrow"/>
                <w:b/>
                <w:bCs/>
                <w:color w:val="000000" w:themeColor="accent4"/>
                <w:sz w:val="18"/>
                <w:szCs w:val="18"/>
              </w:rPr>
              <w:t>Alustava tavoite 2024</w:t>
            </w:r>
          </w:p>
        </w:tc>
        <w:tc>
          <w:tcPr>
            <w:tcW w:w="850" w:type="dxa"/>
            <w:shd w:val="clear" w:color="auto" w:fill="D9D9D9" w:themeFill="accent3" w:themeFillShade="D9"/>
            <w:vAlign w:val="center"/>
          </w:tcPr>
          <w:p w14:paraId="6335968E" w14:textId="0B4CAD1A" w:rsidR="1007C3B6" w:rsidRDefault="1007C3B6" w:rsidP="1007C3B6">
            <w:pPr>
              <w:jc w:val="center"/>
            </w:pPr>
            <w:r w:rsidRPr="1007C3B6">
              <w:rPr>
                <w:rFonts w:ascii="Arial Narrow" w:eastAsia="Arial Narrow" w:hAnsi="Arial Narrow" w:cs="Arial Narrow"/>
                <w:b/>
                <w:bCs/>
                <w:color w:val="000000" w:themeColor="accent4"/>
                <w:sz w:val="18"/>
                <w:szCs w:val="18"/>
              </w:rPr>
              <w:t>Alustava tavoite 2025</w:t>
            </w:r>
          </w:p>
        </w:tc>
        <w:tc>
          <w:tcPr>
            <w:tcW w:w="851" w:type="dxa"/>
            <w:shd w:val="clear" w:color="auto" w:fill="D9D9D9" w:themeFill="accent3" w:themeFillShade="D9"/>
            <w:vAlign w:val="center"/>
          </w:tcPr>
          <w:p w14:paraId="7D977417" w14:textId="342B5512" w:rsidR="1007C3B6" w:rsidRDefault="1007C3B6" w:rsidP="1007C3B6">
            <w:pPr>
              <w:jc w:val="center"/>
            </w:pPr>
            <w:r w:rsidRPr="1007C3B6">
              <w:rPr>
                <w:rFonts w:ascii="Arial Narrow" w:eastAsia="Arial Narrow" w:hAnsi="Arial Narrow" w:cs="Arial Narrow"/>
                <w:b/>
                <w:bCs/>
                <w:color w:val="000000" w:themeColor="accent4"/>
                <w:sz w:val="18"/>
                <w:szCs w:val="18"/>
              </w:rPr>
              <w:t>Alustava tavoite 2026</w:t>
            </w:r>
          </w:p>
        </w:tc>
      </w:tr>
      <w:tr w:rsidR="1007C3B6" w14:paraId="04683FDD" w14:textId="77777777" w:rsidTr="0054533F">
        <w:trPr>
          <w:trHeight w:val="225"/>
        </w:trPr>
        <w:tc>
          <w:tcPr>
            <w:tcW w:w="3686" w:type="dxa"/>
            <w:vAlign w:val="center"/>
          </w:tcPr>
          <w:p w14:paraId="594AE6D7" w14:textId="007F0532" w:rsidR="1007C3B6" w:rsidRDefault="1007C3B6" w:rsidP="00A0184B">
            <w:pPr>
              <w:jc w:val="left"/>
            </w:pPr>
            <w:r w:rsidRPr="1007C3B6">
              <w:rPr>
                <w:rFonts w:ascii="Arial Narrow" w:eastAsia="Arial Narrow" w:hAnsi="Arial Narrow" w:cs="Arial Narrow"/>
                <w:color w:val="000000" w:themeColor="accent4"/>
                <w:sz w:val="18"/>
                <w:szCs w:val="18"/>
              </w:rPr>
              <w:t xml:space="preserve">Oikea-aikaisesti maksettujen verojen osuus (%) </w:t>
            </w:r>
          </w:p>
        </w:tc>
        <w:tc>
          <w:tcPr>
            <w:tcW w:w="850" w:type="dxa"/>
            <w:vAlign w:val="center"/>
          </w:tcPr>
          <w:p w14:paraId="2F948059" w14:textId="57739D49" w:rsidR="1007C3B6" w:rsidRDefault="1007C3B6" w:rsidP="1007C3B6">
            <w:pPr>
              <w:jc w:val="right"/>
            </w:pPr>
            <w:r w:rsidRPr="1007C3B6">
              <w:rPr>
                <w:rFonts w:ascii="Arial Narrow" w:eastAsia="Arial Narrow" w:hAnsi="Arial Narrow" w:cs="Arial Narrow"/>
                <w:sz w:val="18"/>
                <w:szCs w:val="18"/>
              </w:rPr>
              <w:t>93</w:t>
            </w:r>
          </w:p>
        </w:tc>
        <w:tc>
          <w:tcPr>
            <w:tcW w:w="850" w:type="dxa"/>
            <w:vAlign w:val="center"/>
          </w:tcPr>
          <w:p w14:paraId="5E55F525" w14:textId="5FC181A3" w:rsidR="1007C3B6" w:rsidRDefault="002857D6" w:rsidP="1007C3B6">
            <w:pPr>
              <w:jc w:val="right"/>
            </w:pPr>
            <w:r w:rsidRPr="1007C3B6">
              <w:rPr>
                <w:rFonts w:ascii="Arial Narrow" w:eastAsia="Arial Narrow" w:hAnsi="Arial Narrow" w:cs="Arial Narrow"/>
                <w:sz w:val="18"/>
                <w:szCs w:val="18"/>
              </w:rPr>
              <w:t xml:space="preserve">≥ </w:t>
            </w:r>
            <w:r w:rsidR="1007C3B6" w:rsidRPr="1007C3B6">
              <w:rPr>
                <w:rFonts w:ascii="Arial Narrow" w:eastAsia="Arial Narrow" w:hAnsi="Arial Narrow" w:cs="Arial Narrow"/>
                <w:color w:val="000000" w:themeColor="accent4"/>
                <w:sz w:val="18"/>
                <w:szCs w:val="18"/>
              </w:rPr>
              <w:t>92</w:t>
            </w:r>
          </w:p>
        </w:tc>
        <w:tc>
          <w:tcPr>
            <w:tcW w:w="851" w:type="dxa"/>
            <w:vAlign w:val="center"/>
          </w:tcPr>
          <w:p w14:paraId="452251F9" w14:textId="08752306" w:rsidR="1007C3B6" w:rsidRDefault="1007C3B6" w:rsidP="1007C3B6">
            <w:pPr>
              <w:jc w:val="right"/>
            </w:pPr>
            <w:r w:rsidRPr="1007C3B6">
              <w:rPr>
                <w:rFonts w:ascii="Arial Narrow" w:eastAsia="Arial Narrow" w:hAnsi="Arial Narrow" w:cs="Arial Narrow"/>
                <w:sz w:val="18"/>
                <w:szCs w:val="18"/>
              </w:rPr>
              <w:t>93</w:t>
            </w:r>
          </w:p>
        </w:tc>
        <w:tc>
          <w:tcPr>
            <w:tcW w:w="850" w:type="dxa"/>
            <w:vAlign w:val="center"/>
          </w:tcPr>
          <w:p w14:paraId="08B64C43" w14:textId="3F82967C" w:rsidR="1007C3B6" w:rsidRDefault="1007C3B6" w:rsidP="1007C3B6">
            <w:pPr>
              <w:jc w:val="right"/>
            </w:pPr>
            <w:r w:rsidRPr="1007C3B6">
              <w:rPr>
                <w:rFonts w:ascii="Arial Narrow" w:eastAsia="Arial Narrow" w:hAnsi="Arial Narrow" w:cs="Arial Narrow"/>
                <w:sz w:val="18"/>
                <w:szCs w:val="18"/>
              </w:rPr>
              <w:t>≥ 93</w:t>
            </w:r>
          </w:p>
        </w:tc>
        <w:tc>
          <w:tcPr>
            <w:tcW w:w="851" w:type="dxa"/>
            <w:vAlign w:val="center"/>
          </w:tcPr>
          <w:p w14:paraId="30234A09" w14:textId="4BE4DC83" w:rsidR="1007C3B6" w:rsidRDefault="1007C3B6" w:rsidP="1007C3B6">
            <w:pPr>
              <w:jc w:val="right"/>
            </w:pPr>
            <w:r w:rsidRPr="1007C3B6">
              <w:rPr>
                <w:rFonts w:ascii="Arial Narrow" w:eastAsia="Arial Narrow" w:hAnsi="Arial Narrow" w:cs="Arial Narrow"/>
                <w:sz w:val="18"/>
                <w:szCs w:val="18"/>
              </w:rPr>
              <w:t>≥ 93</w:t>
            </w:r>
          </w:p>
        </w:tc>
        <w:tc>
          <w:tcPr>
            <w:tcW w:w="850" w:type="dxa"/>
            <w:vAlign w:val="center"/>
          </w:tcPr>
          <w:p w14:paraId="19D766C0" w14:textId="123F93A9" w:rsidR="1007C3B6" w:rsidRDefault="1007C3B6" w:rsidP="1007C3B6">
            <w:pPr>
              <w:jc w:val="right"/>
            </w:pPr>
            <w:r w:rsidRPr="1007C3B6">
              <w:rPr>
                <w:rFonts w:ascii="Arial Narrow" w:eastAsia="Arial Narrow" w:hAnsi="Arial Narrow" w:cs="Arial Narrow"/>
                <w:sz w:val="18"/>
                <w:szCs w:val="18"/>
              </w:rPr>
              <w:t>≥ 93</w:t>
            </w:r>
          </w:p>
        </w:tc>
        <w:tc>
          <w:tcPr>
            <w:tcW w:w="851" w:type="dxa"/>
            <w:vAlign w:val="center"/>
          </w:tcPr>
          <w:p w14:paraId="356B4CDA" w14:textId="3A918E53" w:rsidR="1007C3B6" w:rsidRDefault="1007C3B6" w:rsidP="1007C3B6">
            <w:pPr>
              <w:jc w:val="right"/>
            </w:pPr>
            <w:r w:rsidRPr="1007C3B6">
              <w:rPr>
                <w:rFonts w:ascii="Arial Narrow" w:eastAsia="Arial Narrow" w:hAnsi="Arial Narrow" w:cs="Arial Narrow"/>
                <w:sz w:val="18"/>
                <w:szCs w:val="18"/>
              </w:rPr>
              <w:t>≥ 93</w:t>
            </w:r>
          </w:p>
        </w:tc>
      </w:tr>
      <w:tr w:rsidR="1007C3B6" w14:paraId="1D01046B" w14:textId="77777777" w:rsidTr="0054533F">
        <w:trPr>
          <w:trHeight w:val="225"/>
        </w:trPr>
        <w:tc>
          <w:tcPr>
            <w:tcW w:w="3686" w:type="dxa"/>
            <w:vAlign w:val="center"/>
          </w:tcPr>
          <w:p w14:paraId="0BC3EC51" w14:textId="5303AA58" w:rsidR="1007C3B6" w:rsidRDefault="1007C3B6" w:rsidP="00A0184B">
            <w:pPr>
              <w:jc w:val="left"/>
            </w:pPr>
            <w:r w:rsidRPr="1007C3B6">
              <w:rPr>
                <w:rFonts w:ascii="Arial Narrow" w:eastAsia="Arial Narrow" w:hAnsi="Arial Narrow" w:cs="Arial Narrow"/>
                <w:color w:val="000000" w:themeColor="accent4"/>
                <w:sz w:val="18"/>
                <w:szCs w:val="18"/>
              </w:rPr>
              <w:t>Uusien verovelkojen osuus verovelkojen kokonaismäärästä (%)</w:t>
            </w:r>
          </w:p>
        </w:tc>
        <w:tc>
          <w:tcPr>
            <w:tcW w:w="850" w:type="dxa"/>
            <w:vAlign w:val="center"/>
          </w:tcPr>
          <w:p w14:paraId="1F3FE10E" w14:textId="3AF7D7D3" w:rsidR="1007C3B6" w:rsidRDefault="1007C3B6" w:rsidP="1007C3B6">
            <w:pPr>
              <w:jc w:val="right"/>
            </w:pPr>
            <w:r w:rsidRPr="1007C3B6">
              <w:rPr>
                <w:rFonts w:ascii="Arial Narrow" w:eastAsia="Arial Narrow" w:hAnsi="Arial Narrow" w:cs="Arial Narrow"/>
                <w:sz w:val="18"/>
                <w:szCs w:val="18"/>
              </w:rPr>
              <w:t>31</w:t>
            </w:r>
          </w:p>
        </w:tc>
        <w:tc>
          <w:tcPr>
            <w:tcW w:w="850" w:type="dxa"/>
            <w:vAlign w:val="center"/>
          </w:tcPr>
          <w:p w14:paraId="2D8C1973" w14:textId="7C0042AD" w:rsidR="1007C3B6" w:rsidRDefault="00E649A2" w:rsidP="1007C3B6">
            <w:pPr>
              <w:jc w:val="right"/>
            </w:pPr>
            <w:r>
              <w:rPr>
                <w:rFonts w:ascii="Arial Narrow" w:eastAsia="Arial Narrow" w:hAnsi="Arial Narrow" w:cs="Arial Narrow"/>
                <w:sz w:val="18"/>
                <w:szCs w:val="18"/>
              </w:rPr>
              <w:t>uusi mittari</w:t>
            </w:r>
          </w:p>
        </w:tc>
        <w:tc>
          <w:tcPr>
            <w:tcW w:w="851" w:type="dxa"/>
            <w:vAlign w:val="center"/>
          </w:tcPr>
          <w:p w14:paraId="729F2514" w14:textId="7ACB60FB" w:rsidR="1007C3B6" w:rsidRDefault="1007C3B6" w:rsidP="1007C3B6">
            <w:pPr>
              <w:jc w:val="right"/>
            </w:pPr>
            <w:r w:rsidRPr="1007C3B6">
              <w:rPr>
                <w:rFonts w:ascii="Arial Narrow" w:eastAsia="Arial Narrow" w:hAnsi="Arial Narrow" w:cs="Arial Narrow"/>
                <w:sz w:val="18"/>
                <w:szCs w:val="18"/>
              </w:rPr>
              <w:t>30</w:t>
            </w:r>
          </w:p>
        </w:tc>
        <w:tc>
          <w:tcPr>
            <w:tcW w:w="850" w:type="dxa"/>
            <w:vAlign w:val="center"/>
          </w:tcPr>
          <w:p w14:paraId="56AD8588" w14:textId="205233B1" w:rsidR="1007C3B6" w:rsidRDefault="1007C3B6" w:rsidP="1007C3B6">
            <w:pPr>
              <w:jc w:val="right"/>
            </w:pPr>
            <w:r w:rsidRPr="1007C3B6">
              <w:rPr>
                <w:rFonts w:ascii="Arial Narrow" w:eastAsia="Arial Narrow" w:hAnsi="Arial Narrow" w:cs="Arial Narrow"/>
                <w:sz w:val="18"/>
                <w:szCs w:val="18"/>
              </w:rPr>
              <w:t>≤ 35</w:t>
            </w:r>
          </w:p>
        </w:tc>
        <w:tc>
          <w:tcPr>
            <w:tcW w:w="851" w:type="dxa"/>
            <w:vAlign w:val="center"/>
          </w:tcPr>
          <w:p w14:paraId="1074F57F" w14:textId="40315182" w:rsidR="1007C3B6" w:rsidRDefault="1007C3B6" w:rsidP="1007C3B6">
            <w:pPr>
              <w:jc w:val="right"/>
            </w:pPr>
            <w:r w:rsidRPr="1007C3B6">
              <w:rPr>
                <w:rFonts w:ascii="Arial Narrow" w:eastAsia="Arial Narrow" w:hAnsi="Arial Narrow" w:cs="Arial Narrow"/>
                <w:sz w:val="18"/>
                <w:szCs w:val="18"/>
              </w:rPr>
              <w:t>≤ 35</w:t>
            </w:r>
          </w:p>
        </w:tc>
        <w:tc>
          <w:tcPr>
            <w:tcW w:w="850" w:type="dxa"/>
            <w:vAlign w:val="center"/>
          </w:tcPr>
          <w:p w14:paraId="271A6959" w14:textId="4B465020" w:rsidR="1007C3B6" w:rsidRDefault="1007C3B6" w:rsidP="1007C3B6">
            <w:pPr>
              <w:jc w:val="right"/>
            </w:pPr>
            <w:r w:rsidRPr="1007C3B6">
              <w:rPr>
                <w:rFonts w:ascii="Arial Narrow" w:eastAsia="Arial Narrow" w:hAnsi="Arial Narrow" w:cs="Arial Narrow"/>
                <w:sz w:val="18"/>
                <w:szCs w:val="18"/>
              </w:rPr>
              <w:t>≤ 35</w:t>
            </w:r>
          </w:p>
        </w:tc>
        <w:tc>
          <w:tcPr>
            <w:tcW w:w="851" w:type="dxa"/>
            <w:vAlign w:val="center"/>
          </w:tcPr>
          <w:p w14:paraId="26D288E4" w14:textId="70EBA9FD" w:rsidR="1007C3B6" w:rsidRDefault="1007C3B6" w:rsidP="1007C3B6">
            <w:pPr>
              <w:jc w:val="right"/>
            </w:pPr>
            <w:r w:rsidRPr="1007C3B6">
              <w:rPr>
                <w:rFonts w:ascii="Arial Narrow" w:eastAsia="Arial Narrow" w:hAnsi="Arial Narrow" w:cs="Arial Narrow"/>
                <w:sz w:val="18"/>
                <w:szCs w:val="18"/>
              </w:rPr>
              <w:t>≤ 35</w:t>
            </w:r>
          </w:p>
        </w:tc>
      </w:tr>
      <w:tr w:rsidR="1007C3B6" w14:paraId="76663DDE" w14:textId="77777777" w:rsidTr="0054533F">
        <w:trPr>
          <w:trHeight w:val="225"/>
        </w:trPr>
        <w:tc>
          <w:tcPr>
            <w:tcW w:w="3686" w:type="dxa"/>
            <w:vAlign w:val="center"/>
          </w:tcPr>
          <w:p w14:paraId="64951778" w14:textId="7D3866F8" w:rsidR="1007C3B6" w:rsidRDefault="1007C3B6" w:rsidP="00A0184B">
            <w:pPr>
              <w:jc w:val="left"/>
            </w:pPr>
            <w:r w:rsidRPr="1007C3B6">
              <w:rPr>
                <w:rFonts w:ascii="Arial Narrow" w:eastAsia="Arial Narrow" w:hAnsi="Arial Narrow" w:cs="Arial Narrow"/>
                <w:color w:val="000000" w:themeColor="accent4"/>
                <w:sz w:val="18"/>
                <w:szCs w:val="18"/>
              </w:rPr>
              <w:t>Asiakkaiden osuus, joiden mielestä valvonta on tehokasta (%)</w:t>
            </w:r>
          </w:p>
        </w:tc>
        <w:tc>
          <w:tcPr>
            <w:tcW w:w="850" w:type="dxa"/>
            <w:vAlign w:val="center"/>
          </w:tcPr>
          <w:p w14:paraId="26CDC41E" w14:textId="1A03D312" w:rsidR="1007C3B6" w:rsidRDefault="1007C3B6" w:rsidP="1007C3B6">
            <w:pPr>
              <w:jc w:val="right"/>
            </w:pPr>
            <w:r w:rsidRPr="1007C3B6">
              <w:rPr>
                <w:rFonts w:ascii="Arial Narrow" w:eastAsia="Arial Narrow" w:hAnsi="Arial Narrow" w:cs="Arial Narrow"/>
                <w:sz w:val="18"/>
                <w:szCs w:val="18"/>
              </w:rPr>
              <w:t>81</w:t>
            </w:r>
          </w:p>
        </w:tc>
        <w:tc>
          <w:tcPr>
            <w:tcW w:w="850" w:type="dxa"/>
            <w:vAlign w:val="center"/>
          </w:tcPr>
          <w:p w14:paraId="6309CF46" w14:textId="1D9722A2" w:rsidR="1007C3B6" w:rsidRDefault="002857D6" w:rsidP="1007C3B6">
            <w:pPr>
              <w:jc w:val="right"/>
            </w:pPr>
            <w:r w:rsidRPr="1007C3B6">
              <w:rPr>
                <w:rFonts w:ascii="Arial Narrow" w:eastAsia="Arial Narrow" w:hAnsi="Arial Narrow" w:cs="Arial Narrow"/>
                <w:sz w:val="18"/>
                <w:szCs w:val="18"/>
              </w:rPr>
              <w:t xml:space="preserve">≥ </w:t>
            </w:r>
            <w:r w:rsidR="1007C3B6" w:rsidRPr="1007C3B6">
              <w:rPr>
                <w:rFonts w:ascii="Arial Narrow" w:eastAsia="Arial Narrow" w:hAnsi="Arial Narrow" w:cs="Arial Narrow"/>
                <w:sz w:val="18"/>
                <w:szCs w:val="18"/>
              </w:rPr>
              <w:t>80</w:t>
            </w:r>
          </w:p>
        </w:tc>
        <w:tc>
          <w:tcPr>
            <w:tcW w:w="851" w:type="dxa"/>
            <w:vAlign w:val="center"/>
          </w:tcPr>
          <w:p w14:paraId="28294F18" w14:textId="5368E4D5" w:rsidR="1007C3B6" w:rsidRDefault="006C27B5" w:rsidP="1007C3B6">
            <w:pPr>
              <w:jc w:val="right"/>
            </w:pPr>
            <w:r>
              <w:rPr>
                <w:rFonts w:ascii="Arial Narrow" w:eastAsia="Arial Narrow" w:hAnsi="Arial Narrow" w:cs="Arial Narrow"/>
                <w:sz w:val="18"/>
                <w:szCs w:val="18"/>
              </w:rPr>
              <w:t>ei saatavilla</w:t>
            </w:r>
          </w:p>
        </w:tc>
        <w:tc>
          <w:tcPr>
            <w:tcW w:w="850" w:type="dxa"/>
            <w:vAlign w:val="center"/>
          </w:tcPr>
          <w:p w14:paraId="28517A35" w14:textId="69DF1A12" w:rsidR="1007C3B6" w:rsidRDefault="1007C3B6" w:rsidP="1007C3B6">
            <w:pPr>
              <w:jc w:val="right"/>
            </w:pPr>
            <w:r w:rsidRPr="1007C3B6">
              <w:rPr>
                <w:rFonts w:ascii="Arial Narrow" w:eastAsia="Arial Narrow" w:hAnsi="Arial Narrow" w:cs="Arial Narrow"/>
                <w:sz w:val="18"/>
                <w:szCs w:val="18"/>
              </w:rPr>
              <w:t>≥ 80</w:t>
            </w:r>
          </w:p>
        </w:tc>
        <w:tc>
          <w:tcPr>
            <w:tcW w:w="851" w:type="dxa"/>
            <w:vAlign w:val="center"/>
          </w:tcPr>
          <w:p w14:paraId="5659B3D5" w14:textId="5187560A" w:rsidR="1007C3B6" w:rsidRDefault="1007C3B6" w:rsidP="1007C3B6">
            <w:pPr>
              <w:jc w:val="right"/>
            </w:pPr>
            <w:r w:rsidRPr="1007C3B6">
              <w:rPr>
                <w:rFonts w:ascii="Arial Narrow" w:eastAsia="Arial Narrow" w:hAnsi="Arial Narrow" w:cs="Arial Narrow"/>
                <w:sz w:val="18"/>
                <w:szCs w:val="18"/>
              </w:rPr>
              <w:t>≥ 80</w:t>
            </w:r>
          </w:p>
        </w:tc>
        <w:tc>
          <w:tcPr>
            <w:tcW w:w="850" w:type="dxa"/>
            <w:vAlign w:val="center"/>
          </w:tcPr>
          <w:p w14:paraId="26F7907F" w14:textId="45AA9C01" w:rsidR="1007C3B6" w:rsidRDefault="1007C3B6" w:rsidP="1007C3B6">
            <w:pPr>
              <w:jc w:val="right"/>
            </w:pPr>
            <w:r w:rsidRPr="1007C3B6">
              <w:rPr>
                <w:rFonts w:ascii="Arial Narrow" w:eastAsia="Arial Narrow" w:hAnsi="Arial Narrow" w:cs="Arial Narrow"/>
                <w:sz w:val="18"/>
                <w:szCs w:val="18"/>
              </w:rPr>
              <w:t>≥ 80</w:t>
            </w:r>
          </w:p>
        </w:tc>
        <w:tc>
          <w:tcPr>
            <w:tcW w:w="851" w:type="dxa"/>
            <w:vAlign w:val="center"/>
          </w:tcPr>
          <w:p w14:paraId="603C4213" w14:textId="1A9F2483" w:rsidR="1007C3B6" w:rsidRDefault="1007C3B6" w:rsidP="1007C3B6">
            <w:pPr>
              <w:jc w:val="right"/>
            </w:pPr>
            <w:r w:rsidRPr="1007C3B6">
              <w:rPr>
                <w:rFonts w:ascii="Arial Narrow" w:eastAsia="Arial Narrow" w:hAnsi="Arial Narrow" w:cs="Arial Narrow"/>
                <w:sz w:val="18"/>
                <w:szCs w:val="18"/>
              </w:rPr>
              <w:t>≥ 80</w:t>
            </w:r>
          </w:p>
        </w:tc>
      </w:tr>
      <w:tr w:rsidR="1007C3B6" w14:paraId="64DDBF1F" w14:textId="77777777" w:rsidTr="0054533F">
        <w:trPr>
          <w:trHeight w:val="285"/>
        </w:trPr>
        <w:tc>
          <w:tcPr>
            <w:tcW w:w="3686" w:type="dxa"/>
            <w:vAlign w:val="center"/>
          </w:tcPr>
          <w:p w14:paraId="299DC13D" w14:textId="1C83314E" w:rsidR="1007C3B6" w:rsidRDefault="1007C3B6" w:rsidP="00A0184B">
            <w:pPr>
              <w:jc w:val="left"/>
            </w:pPr>
            <w:r w:rsidRPr="1007C3B6">
              <w:rPr>
                <w:rFonts w:ascii="Arial Narrow" w:eastAsia="Arial Narrow" w:hAnsi="Arial Narrow" w:cs="Arial Narrow"/>
                <w:color w:val="000000" w:themeColor="accent4"/>
                <w:sz w:val="18"/>
                <w:szCs w:val="18"/>
              </w:rPr>
              <w:t xml:space="preserve">Asiakkaiden osuus, joiden mielestä Verohallintoon voi luottaa (%) </w:t>
            </w:r>
          </w:p>
        </w:tc>
        <w:tc>
          <w:tcPr>
            <w:tcW w:w="850" w:type="dxa"/>
            <w:vAlign w:val="center"/>
          </w:tcPr>
          <w:p w14:paraId="02AB0EED" w14:textId="3CFED7B2" w:rsidR="1007C3B6" w:rsidRDefault="1007C3B6" w:rsidP="1007C3B6">
            <w:pPr>
              <w:jc w:val="right"/>
            </w:pPr>
            <w:r w:rsidRPr="1007C3B6">
              <w:rPr>
                <w:rFonts w:ascii="Arial Narrow" w:eastAsia="Arial Narrow" w:hAnsi="Arial Narrow" w:cs="Arial Narrow"/>
                <w:sz w:val="18"/>
                <w:szCs w:val="18"/>
              </w:rPr>
              <w:t>88</w:t>
            </w:r>
          </w:p>
        </w:tc>
        <w:tc>
          <w:tcPr>
            <w:tcW w:w="850" w:type="dxa"/>
            <w:vAlign w:val="center"/>
          </w:tcPr>
          <w:p w14:paraId="30A17D90" w14:textId="4A186137" w:rsidR="1007C3B6" w:rsidRDefault="002857D6" w:rsidP="1007C3B6">
            <w:pPr>
              <w:jc w:val="right"/>
            </w:pPr>
            <w:r w:rsidRPr="1007C3B6">
              <w:rPr>
                <w:rFonts w:ascii="Arial Narrow" w:eastAsia="Arial Narrow" w:hAnsi="Arial Narrow" w:cs="Arial Narrow"/>
                <w:sz w:val="18"/>
                <w:szCs w:val="18"/>
              </w:rPr>
              <w:t xml:space="preserve">≥ </w:t>
            </w:r>
            <w:r w:rsidR="1007C3B6" w:rsidRPr="1007C3B6">
              <w:rPr>
                <w:rFonts w:ascii="Arial Narrow" w:eastAsia="Arial Narrow" w:hAnsi="Arial Narrow" w:cs="Arial Narrow"/>
                <w:sz w:val="18"/>
                <w:szCs w:val="18"/>
              </w:rPr>
              <w:t>90</w:t>
            </w:r>
          </w:p>
        </w:tc>
        <w:tc>
          <w:tcPr>
            <w:tcW w:w="851" w:type="dxa"/>
            <w:vAlign w:val="center"/>
          </w:tcPr>
          <w:p w14:paraId="3AD3C693" w14:textId="22DD3ED2" w:rsidR="1007C3B6" w:rsidRDefault="006C27B5" w:rsidP="1007C3B6">
            <w:pPr>
              <w:jc w:val="right"/>
            </w:pPr>
            <w:r>
              <w:rPr>
                <w:rFonts w:ascii="Arial Narrow" w:eastAsia="Arial Narrow" w:hAnsi="Arial Narrow" w:cs="Arial Narrow"/>
                <w:sz w:val="18"/>
                <w:szCs w:val="18"/>
              </w:rPr>
              <w:t>ei saatavilla</w:t>
            </w:r>
          </w:p>
        </w:tc>
        <w:tc>
          <w:tcPr>
            <w:tcW w:w="850" w:type="dxa"/>
            <w:vAlign w:val="center"/>
          </w:tcPr>
          <w:p w14:paraId="17F70ED7" w14:textId="2036ABE8" w:rsidR="1007C3B6" w:rsidRDefault="1007C3B6" w:rsidP="1007C3B6">
            <w:pPr>
              <w:jc w:val="right"/>
            </w:pPr>
            <w:r w:rsidRPr="1007C3B6">
              <w:rPr>
                <w:rFonts w:ascii="Arial Narrow" w:eastAsia="Arial Narrow" w:hAnsi="Arial Narrow" w:cs="Arial Narrow"/>
                <w:sz w:val="18"/>
                <w:szCs w:val="18"/>
              </w:rPr>
              <w:t>≥ 90</w:t>
            </w:r>
          </w:p>
        </w:tc>
        <w:tc>
          <w:tcPr>
            <w:tcW w:w="851" w:type="dxa"/>
            <w:vAlign w:val="center"/>
          </w:tcPr>
          <w:p w14:paraId="66CBD88F" w14:textId="596FE897" w:rsidR="1007C3B6" w:rsidRDefault="1007C3B6" w:rsidP="1007C3B6">
            <w:pPr>
              <w:jc w:val="right"/>
            </w:pPr>
            <w:r w:rsidRPr="1007C3B6">
              <w:rPr>
                <w:rFonts w:ascii="Arial Narrow" w:eastAsia="Arial Narrow" w:hAnsi="Arial Narrow" w:cs="Arial Narrow"/>
                <w:sz w:val="18"/>
                <w:szCs w:val="18"/>
              </w:rPr>
              <w:t>≥ 90</w:t>
            </w:r>
          </w:p>
        </w:tc>
        <w:tc>
          <w:tcPr>
            <w:tcW w:w="850" w:type="dxa"/>
            <w:vAlign w:val="center"/>
          </w:tcPr>
          <w:p w14:paraId="08063522" w14:textId="21036071" w:rsidR="1007C3B6" w:rsidRDefault="1007C3B6" w:rsidP="1007C3B6">
            <w:pPr>
              <w:jc w:val="right"/>
            </w:pPr>
            <w:r w:rsidRPr="1007C3B6">
              <w:rPr>
                <w:rFonts w:ascii="Arial Narrow" w:eastAsia="Arial Narrow" w:hAnsi="Arial Narrow" w:cs="Arial Narrow"/>
                <w:sz w:val="18"/>
                <w:szCs w:val="18"/>
              </w:rPr>
              <w:t>≥ 90</w:t>
            </w:r>
          </w:p>
        </w:tc>
        <w:tc>
          <w:tcPr>
            <w:tcW w:w="851" w:type="dxa"/>
            <w:vAlign w:val="center"/>
          </w:tcPr>
          <w:p w14:paraId="1ECE3A50" w14:textId="0F4F9D82" w:rsidR="1007C3B6" w:rsidRDefault="1007C3B6" w:rsidP="1007C3B6">
            <w:pPr>
              <w:jc w:val="right"/>
            </w:pPr>
            <w:r w:rsidRPr="1007C3B6">
              <w:rPr>
                <w:rFonts w:ascii="Arial Narrow" w:eastAsia="Arial Narrow" w:hAnsi="Arial Narrow" w:cs="Arial Narrow"/>
                <w:sz w:val="18"/>
                <w:szCs w:val="18"/>
              </w:rPr>
              <w:t>≥ 90</w:t>
            </w:r>
          </w:p>
        </w:tc>
      </w:tr>
      <w:tr w:rsidR="000A1753" w14:paraId="74DF1F31" w14:textId="77777777" w:rsidTr="0054533F">
        <w:trPr>
          <w:trHeight w:val="285"/>
        </w:trPr>
        <w:tc>
          <w:tcPr>
            <w:tcW w:w="3686" w:type="dxa"/>
            <w:vAlign w:val="center"/>
          </w:tcPr>
          <w:p w14:paraId="08FF9B18" w14:textId="24D45D4D" w:rsidR="000A1753" w:rsidRPr="1007C3B6" w:rsidRDefault="000A1753" w:rsidP="00A0184B">
            <w:pPr>
              <w:jc w:val="left"/>
              <w:rPr>
                <w:rFonts w:ascii="Arial Narrow" w:eastAsia="Arial Narrow" w:hAnsi="Arial Narrow" w:cs="Arial Narrow"/>
                <w:color w:val="000000" w:themeColor="accent4"/>
                <w:sz w:val="18"/>
                <w:szCs w:val="18"/>
              </w:rPr>
            </w:pPr>
            <w:r w:rsidRPr="2E398A06">
              <w:rPr>
                <w:rFonts w:ascii="Arial Narrow" w:eastAsia="Arial Narrow" w:hAnsi="Arial Narrow" w:cs="Arial Narrow"/>
                <w:color w:val="000000" w:themeColor="accent4"/>
                <w:sz w:val="18"/>
                <w:szCs w:val="18"/>
              </w:rPr>
              <w:t>Sähköisten verokorttimuutosten osuus (%)</w:t>
            </w:r>
          </w:p>
        </w:tc>
        <w:tc>
          <w:tcPr>
            <w:tcW w:w="850" w:type="dxa"/>
            <w:vAlign w:val="center"/>
          </w:tcPr>
          <w:p w14:paraId="50ED90DB" w14:textId="020C29D2"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sz w:val="18"/>
                <w:szCs w:val="18"/>
              </w:rPr>
              <w:t>76</w:t>
            </w:r>
          </w:p>
        </w:tc>
        <w:tc>
          <w:tcPr>
            <w:tcW w:w="850" w:type="dxa"/>
            <w:vAlign w:val="center"/>
          </w:tcPr>
          <w:p w14:paraId="44DAF0AF" w14:textId="245655F2" w:rsidR="000A1753" w:rsidRPr="1007C3B6" w:rsidRDefault="002857D6" w:rsidP="000A1753">
            <w:pPr>
              <w:jc w:val="right"/>
              <w:rPr>
                <w:rFonts w:ascii="Arial Narrow" w:eastAsia="Arial Narrow" w:hAnsi="Arial Narrow" w:cs="Arial Narrow"/>
                <w:sz w:val="18"/>
                <w:szCs w:val="18"/>
              </w:rPr>
            </w:pPr>
            <w:r w:rsidRPr="1007C3B6">
              <w:rPr>
                <w:rFonts w:ascii="Arial Narrow" w:eastAsia="Arial Narrow" w:hAnsi="Arial Narrow" w:cs="Arial Narrow"/>
                <w:sz w:val="18"/>
                <w:szCs w:val="18"/>
              </w:rPr>
              <w:t xml:space="preserve">≥ </w:t>
            </w:r>
            <w:r w:rsidR="000A1753" w:rsidRPr="2E398A06">
              <w:rPr>
                <w:rFonts w:ascii="Arial Narrow" w:eastAsia="Arial Narrow" w:hAnsi="Arial Narrow" w:cs="Arial Narrow"/>
                <w:color w:val="000000" w:themeColor="accent4"/>
                <w:sz w:val="18"/>
                <w:szCs w:val="18"/>
              </w:rPr>
              <w:t>77</w:t>
            </w:r>
          </w:p>
        </w:tc>
        <w:tc>
          <w:tcPr>
            <w:tcW w:w="851" w:type="dxa"/>
            <w:vAlign w:val="center"/>
          </w:tcPr>
          <w:p w14:paraId="1E503C39" w14:textId="32A8C090"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color w:val="000000" w:themeColor="accent4"/>
                <w:sz w:val="18"/>
                <w:szCs w:val="18"/>
              </w:rPr>
              <w:t>75</w:t>
            </w:r>
          </w:p>
        </w:tc>
        <w:tc>
          <w:tcPr>
            <w:tcW w:w="850" w:type="dxa"/>
            <w:vAlign w:val="center"/>
          </w:tcPr>
          <w:p w14:paraId="07231799" w14:textId="0EF02A8F"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color w:val="000000" w:themeColor="accent4"/>
                <w:sz w:val="18"/>
                <w:szCs w:val="18"/>
              </w:rPr>
              <w:t>≥ 76</w:t>
            </w:r>
          </w:p>
        </w:tc>
        <w:tc>
          <w:tcPr>
            <w:tcW w:w="851" w:type="dxa"/>
            <w:vAlign w:val="center"/>
          </w:tcPr>
          <w:p w14:paraId="684D0798" w14:textId="2E9D660D"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color w:val="000000" w:themeColor="accent4"/>
                <w:sz w:val="18"/>
                <w:szCs w:val="18"/>
              </w:rPr>
              <w:t>≥ 76</w:t>
            </w:r>
          </w:p>
        </w:tc>
        <w:tc>
          <w:tcPr>
            <w:tcW w:w="850" w:type="dxa"/>
            <w:vAlign w:val="center"/>
          </w:tcPr>
          <w:p w14:paraId="6E294934" w14:textId="6760B9BE"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color w:val="000000" w:themeColor="accent4"/>
                <w:sz w:val="18"/>
                <w:szCs w:val="18"/>
              </w:rPr>
              <w:t>≥ 76</w:t>
            </w:r>
          </w:p>
        </w:tc>
        <w:tc>
          <w:tcPr>
            <w:tcW w:w="851" w:type="dxa"/>
            <w:vAlign w:val="center"/>
          </w:tcPr>
          <w:p w14:paraId="40EA3AD0" w14:textId="04C290A2" w:rsidR="000A1753" w:rsidRPr="1007C3B6" w:rsidRDefault="000A1753" w:rsidP="000A1753">
            <w:pPr>
              <w:jc w:val="right"/>
              <w:rPr>
                <w:rFonts w:ascii="Arial Narrow" w:eastAsia="Arial Narrow" w:hAnsi="Arial Narrow" w:cs="Arial Narrow"/>
                <w:sz w:val="18"/>
                <w:szCs w:val="18"/>
              </w:rPr>
            </w:pPr>
            <w:proofErr w:type="gramStart"/>
            <w:r w:rsidRPr="2E398A06">
              <w:rPr>
                <w:rFonts w:ascii="Arial Narrow" w:eastAsia="Arial Narrow" w:hAnsi="Arial Narrow" w:cs="Arial Narrow"/>
                <w:color w:val="000000" w:themeColor="accent4"/>
                <w:sz w:val="18"/>
                <w:szCs w:val="18"/>
              </w:rPr>
              <w:t>≥  76</w:t>
            </w:r>
            <w:proofErr w:type="gramEnd"/>
          </w:p>
        </w:tc>
      </w:tr>
      <w:tr w:rsidR="000A1753" w14:paraId="2BB0A963" w14:textId="77777777" w:rsidTr="0054533F">
        <w:trPr>
          <w:trHeight w:val="285"/>
        </w:trPr>
        <w:tc>
          <w:tcPr>
            <w:tcW w:w="3686" w:type="dxa"/>
            <w:vAlign w:val="center"/>
          </w:tcPr>
          <w:p w14:paraId="5A095542" w14:textId="37334BD4" w:rsidR="000A1753" w:rsidRPr="1007C3B6" w:rsidRDefault="000A1753" w:rsidP="00A0184B">
            <w:pPr>
              <w:jc w:val="left"/>
              <w:rPr>
                <w:rFonts w:ascii="Arial Narrow" w:eastAsia="Arial Narrow" w:hAnsi="Arial Narrow" w:cs="Arial Narrow"/>
                <w:color w:val="000000" w:themeColor="accent4"/>
                <w:sz w:val="18"/>
                <w:szCs w:val="18"/>
              </w:rPr>
            </w:pPr>
            <w:r w:rsidRPr="2E398A06">
              <w:rPr>
                <w:rFonts w:ascii="Arial Narrow" w:eastAsia="Arial Narrow" w:hAnsi="Arial Narrow" w:cs="Arial Narrow"/>
                <w:color w:val="000000" w:themeColor="accent4"/>
                <w:sz w:val="18"/>
                <w:szCs w:val="18"/>
              </w:rPr>
              <w:t>Sähköisten tuloveroilmoitusten osuus, henkilöasiakkaat (%)</w:t>
            </w:r>
          </w:p>
        </w:tc>
        <w:tc>
          <w:tcPr>
            <w:tcW w:w="850" w:type="dxa"/>
            <w:vAlign w:val="center"/>
          </w:tcPr>
          <w:p w14:paraId="33189D51" w14:textId="45F0C79A"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sz w:val="18"/>
                <w:szCs w:val="18"/>
              </w:rPr>
              <w:t>88</w:t>
            </w:r>
          </w:p>
        </w:tc>
        <w:tc>
          <w:tcPr>
            <w:tcW w:w="850" w:type="dxa"/>
            <w:vAlign w:val="center"/>
          </w:tcPr>
          <w:p w14:paraId="52580C2F" w14:textId="1F2BEC06" w:rsidR="000A1753" w:rsidRPr="1007C3B6" w:rsidRDefault="002857D6" w:rsidP="000A1753">
            <w:pPr>
              <w:jc w:val="right"/>
              <w:rPr>
                <w:rFonts w:ascii="Arial Narrow" w:eastAsia="Arial Narrow" w:hAnsi="Arial Narrow" w:cs="Arial Narrow"/>
                <w:sz w:val="18"/>
                <w:szCs w:val="18"/>
              </w:rPr>
            </w:pPr>
            <w:r w:rsidRPr="1007C3B6">
              <w:rPr>
                <w:rFonts w:ascii="Arial Narrow" w:eastAsia="Arial Narrow" w:hAnsi="Arial Narrow" w:cs="Arial Narrow"/>
                <w:sz w:val="18"/>
                <w:szCs w:val="18"/>
              </w:rPr>
              <w:t xml:space="preserve">≥ </w:t>
            </w:r>
            <w:r w:rsidR="000A1753" w:rsidRPr="2E398A06">
              <w:rPr>
                <w:rFonts w:ascii="Arial Narrow" w:eastAsia="Arial Narrow" w:hAnsi="Arial Narrow" w:cs="Arial Narrow"/>
                <w:color w:val="000000" w:themeColor="accent4"/>
                <w:sz w:val="18"/>
                <w:szCs w:val="18"/>
              </w:rPr>
              <w:t>85</w:t>
            </w:r>
          </w:p>
        </w:tc>
        <w:tc>
          <w:tcPr>
            <w:tcW w:w="851" w:type="dxa"/>
            <w:vAlign w:val="center"/>
          </w:tcPr>
          <w:p w14:paraId="16D84629" w14:textId="7171934B"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color w:val="000000" w:themeColor="accent4"/>
                <w:sz w:val="18"/>
                <w:szCs w:val="18"/>
              </w:rPr>
              <w:t>89</w:t>
            </w:r>
          </w:p>
        </w:tc>
        <w:tc>
          <w:tcPr>
            <w:tcW w:w="850" w:type="dxa"/>
            <w:vAlign w:val="center"/>
          </w:tcPr>
          <w:p w14:paraId="020859A2" w14:textId="2D2C9CA8"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color w:val="000000" w:themeColor="accent4"/>
                <w:sz w:val="18"/>
                <w:szCs w:val="18"/>
              </w:rPr>
              <w:t>≥ 88</w:t>
            </w:r>
          </w:p>
        </w:tc>
        <w:tc>
          <w:tcPr>
            <w:tcW w:w="851" w:type="dxa"/>
            <w:vAlign w:val="center"/>
          </w:tcPr>
          <w:p w14:paraId="15633AF3" w14:textId="2382AEFA"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color w:val="000000" w:themeColor="accent4"/>
                <w:sz w:val="18"/>
                <w:szCs w:val="18"/>
              </w:rPr>
              <w:t>≥ 88</w:t>
            </w:r>
          </w:p>
        </w:tc>
        <w:tc>
          <w:tcPr>
            <w:tcW w:w="850" w:type="dxa"/>
            <w:vAlign w:val="center"/>
          </w:tcPr>
          <w:p w14:paraId="1AD93E5E" w14:textId="677F6D68"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color w:val="000000" w:themeColor="accent4"/>
                <w:sz w:val="18"/>
                <w:szCs w:val="18"/>
              </w:rPr>
              <w:t>≥ 88</w:t>
            </w:r>
          </w:p>
        </w:tc>
        <w:tc>
          <w:tcPr>
            <w:tcW w:w="851" w:type="dxa"/>
            <w:vAlign w:val="center"/>
          </w:tcPr>
          <w:p w14:paraId="1B3A6E92" w14:textId="1E951EA7" w:rsidR="000A1753" w:rsidRPr="1007C3B6" w:rsidRDefault="000A1753" w:rsidP="000A1753">
            <w:pPr>
              <w:jc w:val="right"/>
              <w:rPr>
                <w:rFonts w:ascii="Arial Narrow" w:eastAsia="Arial Narrow" w:hAnsi="Arial Narrow" w:cs="Arial Narrow"/>
                <w:sz w:val="18"/>
                <w:szCs w:val="18"/>
              </w:rPr>
            </w:pPr>
            <w:r w:rsidRPr="2E398A06">
              <w:rPr>
                <w:rFonts w:ascii="Arial Narrow" w:eastAsia="Arial Narrow" w:hAnsi="Arial Narrow" w:cs="Arial Narrow"/>
                <w:color w:val="000000" w:themeColor="accent4"/>
                <w:sz w:val="18"/>
                <w:szCs w:val="18"/>
              </w:rPr>
              <w:t>≥ 88</w:t>
            </w:r>
          </w:p>
        </w:tc>
      </w:tr>
      <w:tr w:rsidR="00A0184B" w14:paraId="03264DC8" w14:textId="77777777" w:rsidTr="0054533F">
        <w:trPr>
          <w:trHeight w:val="285"/>
        </w:trPr>
        <w:tc>
          <w:tcPr>
            <w:tcW w:w="3686" w:type="dxa"/>
            <w:vAlign w:val="center"/>
          </w:tcPr>
          <w:p w14:paraId="72D03BF5" w14:textId="203986EA" w:rsidR="00A0184B" w:rsidRPr="2E398A06" w:rsidRDefault="00A0184B" w:rsidP="00A0184B">
            <w:pPr>
              <w:jc w:val="left"/>
              <w:rPr>
                <w:rFonts w:ascii="Arial Narrow" w:eastAsia="Arial Narrow" w:hAnsi="Arial Narrow" w:cs="Arial Narrow"/>
                <w:color w:val="000000" w:themeColor="accent4"/>
                <w:sz w:val="18"/>
                <w:szCs w:val="18"/>
              </w:rPr>
            </w:pPr>
            <w:r w:rsidRPr="5F18EF19">
              <w:rPr>
                <w:rFonts w:ascii="Arial Narrow" w:eastAsia="Arial Narrow" w:hAnsi="Arial Narrow" w:cs="Arial Narrow"/>
                <w:sz w:val="18"/>
                <w:szCs w:val="18"/>
              </w:rPr>
              <w:t>Nettomenojen suhde bruttoverotuloihin (%)</w:t>
            </w:r>
          </w:p>
        </w:tc>
        <w:tc>
          <w:tcPr>
            <w:tcW w:w="850" w:type="dxa"/>
            <w:vAlign w:val="center"/>
          </w:tcPr>
          <w:p w14:paraId="3999242F" w14:textId="59F9775A" w:rsidR="00A0184B" w:rsidRPr="2E398A06" w:rsidRDefault="00A0184B" w:rsidP="00A0184B">
            <w:pPr>
              <w:jc w:val="right"/>
              <w:rPr>
                <w:rFonts w:ascii="Arial Narrow" w:eastAsia="Arial Narrow" w:hAnsi="Arial Narrow" w:cs="Arial Narrow"/>
                <w:sz w:val="18"/>
                <w:szCs w:val="18"/>
              </w:rPr>
            </w:pPr>
            <w:r w:rsidRPr="5F18EF19">
              <w:rPr>
                <w:rFonts w:ascii="Arial Narrow" w:eastAsia="Arial Narrow" w:hAnsi="Arial Narrow" w:cs="Arial Narrow"/>
                <w:sz w:val="18"/>
                <w:szCs w:val="18"/>
              </w:rPr>
              <w:t>0,44</w:t>
            </w:r>
          </w:p>
        </w:tc>
        <w:tc>
          <w:tcPr>
            <w:tcW w:w="850" w:type="dxa"/>
            <w:vAlign w:val="center"/>
          </w:tcPr>
          <w:p w14:paraId="430DF46B" w14:textId="5264A850" w:rsidR="00A0184B" w:rsidRPr="2E398A06" w:rsidRDefault="00A0184B" w:rsidP="00A0184B">
            <w:pPr>
              <w:jc w:val="right"/>
              <w:rPr>
                <w:rFonts w:ascii="Arial Narrow" w:eastAsia="Arial Narrow" w:hAnsi="Arial Narrow" w:cs="Arial Narrow"/>
                <w:color w:val="000000" w:themeColor="accent4"/>
                <w:sz w:val="18"/>
                <w:szCs w:val="18"/>
              </w:rPr>
            </w:pPr>
            <w:r w:rsidRPr="5F18EF19">
              <w:rPr>
                <w:rFonts w:ascii="Arial Narrow" w:eastAsia="Arial Narrow" w:hAnsi="Arial Narrow" w:cs="Arial Narrow"/>
                <w:sz w:val="18"/>
                <w:szCs w:val="18"/>
              </w:rPr>
              <w:t>&lt; 0,6</w:t>
            </w:r>
          </w:p>
        </w:tc>
        <w:tc>
          <w:tcPr>
            <w:tcW w:w="851" w:type="dxa"/>
            <w:vAlign w:val="center"/>
          </w:tcPr>
          <w:p w14:paraId="09668271" w14:textId="7A99DF20" w:rsidR="00A0184B" w:rsidRPr="2E398A06" w:rsidRDefault="00A0184B" w:rsidP="00A0184B">
            <w:pPr>
              <w:jc w:val="right"/>
              <w:rPr>
                <w:rFonts w:ascii="Arial Narrow" w:eastAsia="Arial Narrow" w:hAnsi="Arial Narrow" w:cs="Arial Narrow"/>
                <w:color w:val="000000" w:themeColor="accent4"/>
                <w:sz w:val="18"/>
                <w:szCs w:val="18"/>
              </w:rPr>
            </w:pPr>
            <w:r w:rsidRPr="5F18EF19">
              <w:rPr>
                <w:rFonts w:ascii="Arial Narrow" w:eastAsia="Arial Narrow" w:hAnsi="Arial Narrow" w:cs="Arial Narrow"/>
                <w:sz w:val="18"/>
                <w:szCs w:val="18"/>
              </w:rPr>
              <w:t>0,4</w:t>
            </w:r>
          </w:p>
        </w:tc>
        <w:tc>
          <w:tcPr>
            <w:tcW w:w="850" w:type="dxa"/>
            <w:vAlign w:val="center"/>
          </w:tcPr>
          <w:p w14:paraId="3CA6ED29" w14:textId="7C11B533" w:rsidR="00A0184B" w:rsidRPr="2E398A06" w:rsidRDefault="00A0184B" w:rsidP="00A0184B">
            <w:pPr>
              <w:jc w:val="right"/>
              <w:rPr>
                <w:rFonts w:ascii="Arial Narrow" w:eastAsia="Arial Narrow" w:hAnsi="Arial Narrow" w:cs="Arial Narrow"/>
                <w:color w:val="000000" w:themeColor="accent4"/>
                <w:sz w:val="18"/>
                <w:szCs w:val="18"/>
              </w:rPr>
            </w:pPr>
            <w:r w:rsidRPr="5F18EF19">
              <w:rPr>
                <w:rFonts w:ascii="Arial Narrow" w:eastAsia="Arial Narrow" w:hAnsi="Arial Narrow" w:cs="Arial Narrow"/>
                <w:sz w:val="18"/>
                <w:szCs w:val="18"/>
              </w:rPr>
              <w:t>&lt; 0,6</w:t>
            </w:r>
          </w:p>
        </w:tc>
        <w:tc>
          <w:tcPr>
            <w:tcW w:w="851" w:type="dxa"/>
            <w:vAlign w:val="center"/>
          </w:tcPr>
          <w:p w14:paraId="6AE51C01" w14:textId="4E6158FE" w:rsidR="00A0184B" w:rsidRPr="2E398A06" w:rsidRDefault="00A0184B" w:rsidP="00A0184B">
            <w:pPr>
              <w:jc w:val="right"/>
              <w:rPr>
                <w:rFonts w:ascii="Arial Narrow" w:eastAsia="Arial Narrow" w:hAnsi="Arial Narrow" w:cs="Arial Narrow"/>
                <w:color w:val="000000" w:themeColor="accent4"/>
                <w:sz w:val="18"/>
                <w:szCs w:val="18"/>
              </w:rPr>
            </w:pPr>
            <w:r w:rsidRPr="5F18EF19">
              <w:rPr>
                <w:rFonts w:ascii="Arial Narrow" w:eastAsia="Arial Narrow" w:hAnsi="Arial Narrow" w:cs="Arial Narrow"/>
                <w:sz w:val="18"/>
                <w:szCs w:val="18"/>
              </w:rPr>
              <w:t>&lt; 0,6</w:t>
            </w:r>
          </w:p>
        </w:tc>
        <w:tc>
          <w:tcPr>
            <w:tcW w:w="850" w:type="dxa"/>
            <w:vAlign w:val="center"/>
          </w:tcPr>
          <w:p w14:paraId="72703198" w14:textId="079FDEAB" w:rsidR="00A0184B" w:rsidRPr="2E398A06" w:rsidRDefault="00A0184B" w:rsidP="00A0184B">
            <w:pPr>
              <w:jc w:val="right"/>
              <w:rPr>
                <w:rFonts w:ascii="Arial Narrow" w:eastAsia="Arial Narrow" w:hAnsi="Arial Narrow" w:cs="Arial Narrow"/>
                <w:color w:val="000000" w:themeColor="accent4"/>
                <w:sz w:val="18"/>
                <w:szCs w:val="18"/>
              </w:rPr>
            </w:pPr>
            <w:r w:rsidRPr="5F18EF19">
              <w:rPr>
                <w:rFonts w:ascii="Arial Narrow" w:eastAsia="Arial Narrow" w:hAnsi="Arial Narrow" w:cs="Arial Narrow"/>
                <w:sz w:val="18"/>
                <w:szCs w:val="18"/>
              </w:rPr>
              <w:t>&lt; 0,6</w:t>
            </w:r>
          </w:p>
        </w:tc>
        <w:tc>
          <w:tcPr>
            <w:tcW w:w="851" w:type="dxa"/>
            <w:vAlign w:val="center"/>
          </w:tcPr>
          <w:p w14:paraId="552B8F53" w14:textId="1B2E0A29" w:rsidR="00A0184B" w:rsidRPr="2E398A06" w:rsidRDefault="00A0184B" w:rsidP="00A0184B">
            <w:pPr>
              <w:jc w:val="right"/>
              <w:rPr>
                <w:rFonts w:ascii="Arial Narrow" w:eastAsia="Arial Narrow" w:hAnsi="Arial Narrow" w:cs="Arial Narrow"/>
                <w:color w:val="000000" w:themeColor="accent4"/>
                <w:sz w:val="18"/>
                <w:szCs w:val="18"/>
              </w:rPr>
            </w:pPr>
            <w:r w:rsidRPr="5F18EF19">
              <w:rPr>
                <w:rFonts w:ascii="Arial Narrow" w:eastAsia="Arial Narrow" w:hAnsi="Arial Narrow" w:cs="Arial Narrow"/>
                <w:sz w:val="18"/>
                <w:szCs w:val="18"/>
              </w:rPr>
              <w:t>&lt; 0,6</w:t>
            </w:r>
          </w:p>
        </w:tc>
      </w:tr>
      <w:tr w:rsidR="00A0184B" w14:paraId="61519FD4" w14:textId="77777777" w:rsidTr="0054533F">
        <w:trPr>
          <w:trHeight w:val="285"/>
        </w:trPr>
        <w:tc>
          <w:tcPr>
            <w:tcW w:w="3686" w:type="dxa"/>
            <w:vAlign w:val="center"/>
          </w:tcPr>
          <w:p w14:paraId="1A068985" w14:textId="03C3337C" w:rsidR="00A0184B" w:rsidRPr="2E398A06" w:rsidRDefault="00A0184B" w:rsidP="00A0184B">
            <w:pPr>
              <w:jc w:val="left"/>
              <w:rPr>
                <w:rFonts w:ascii="Arial Narrow" w:eastAsia="Arial Narrow" w:hAnsi="Arial Narrow" w:cs="Arial Narrow"/>
                <w:color w:val="000000" w:themeColor="accent4"/>
                <w:sz w:val="18"/>
                <w:szCs w:val="18"/>
              </w:rPr>
            </w:pPr>
            <w:r w:rsidRPr="154E2B4A">
              <w:rPr>
                <w:rFonts w:ascii="Arial Narrow" w:eastAsia="Arial Narrow" w:hAnsi="Arial Narrow" w:cs="Arial Narrow"/>
                <w:sz w:val="18"/>
                <w:szCs w:val="18"/>
              </w:rPr>
              <w:t>Ennakkoratkaisujen kustannusvastaavuus</w:t>
            </w:r>
          </w:p>
        </w:tc>
        <w:tc>
          <w:tcPr>
            <w:tcW w:w="850" w:type="dxa"/>
            <w:vAlign w:val="center"/>
          </w:tcPr>
          <w:p w14:paraId="07D669F1" w14:textId="729AC268" w:rsidR="00A0184B" w:rsidRPr="2E398A06" w:rsidRDefault="00A0184B" w:rsidP="00A0184B">
            <w:pPr>
              <w:jc w:val="right"/>
              <w:rPr>
                <w:rFonts w:ascii="Arial Narrow" w:eastAsia="Arial Narrow" w:hAnsi="Arial Narrow" w:cs="Arial Narrow"/>
                <w:sz w:val="18"/>
                <w:szCs w:val="18"/>
              </w:rPr>
            </w:pPr>
            <w:r w:rsidRPr="154E2B4A">
              <w:rPr>
                <w:rFonts w:ascii="Arial Narrow" w:eastAsia="Arial Narrow" w:hAnsi="Arial Narrow" w:cs="Arial Narrow"/>
                <w:sz w:val="18"/>
                <w:szCs w:val="18"/>
              </w:rPr>
              <w:t>58,4 %</w:t>
            </w:r>
          </w:p>
        </w:tc>
        <w:tc>
          <w:tcPr>
            <w:tcW w:w="850" w:type="dxa"/>
            <w:vAlign w:val="center"/>
          </w:tcPr>
          <w:p w14:paraId="47AB05FC" w14:textId="36210FFC" w:rsidR="00A0184B" w:rsidRPr="2E398A06" w:rsidRDefault="00A0184B" w:rsidP="00A0184B">
            <w:pPr>
              <w:jc w:val="right"/>
              <w:rPr>
                <w:rFonts w:ascii="Arial Narrow" w:eastAsia="Arial Narrow" w:hAnsi="Arial Narrow" w:cs="Arial Narrow"/>
                <w:color w:val="000000" w:themeColor="accent4"/>
                <w:sz w:val="18"/>
                <w:szCs w:val="18"/>
              </w:rPr>
            </w:pPr>
            <w:r w:rsidRPr="154E2B4A">
              <w:rPr>
                <w:rFonts w:ascii="Arial Narrow" w:eastAsia="Arial Narrow" w:hAnsi="Arial Narrow" w:cs="Arial Narrow"/>
                <w:sz w:val="18"/>
                <w:szCs w:val="18"/>
              </w:rPr>
              <w:t>-</w:t>
            </w:r>
          </w:p>
        </w:tc>
        <w:tc>
          <w:tcPr>
            <w:tcW w:w="851" w:type="dxa"/>
            <w:vAlign w:val="center"/>
          </w:tcPr>
          <w:p w14:paraId="071180AC" w14:textId="2D6F084C" w:rsidR="00A0184B" w:rsidRPr="2E398A06" w:rsidRDefault="00A0184B" w:rsidP="00A0184B">
            <w:pPr>
              <w:jc w:val="right"/>
              <w:rPr>
                <w:rFonts w:ascii="Arial Narrow" w:eastAsia="Arial Narrow" w:hAnsi="Arial Narrow" w:cs="Arial Narrow"/>
                <w:color w:val="000000" w:themeColor="accent4"/>
                <w:sz w:val="18"/>
                <w:szCs w:val="18"/>
              </w:rPr>
            </w:pPr>
            <w:r w:rsidRPr="154E2B4A">
              <w:rPr>
                <w:rFonts w:ascii="Arial Narrow" w:eastAsia="Arial Narrow" w:hAnsi="Arial Narrow" w:cs="Arial Narrow"/>
                <w:sz w:val="18"/>
                <w:szCs w:val="18"/>
              </w:rPr>
              <w:t>64 %</w:t>
            </w:r>
          </w:p>
        </w:tc>
        <w:tc>
          <w:tcPr>
            <w:tcW w:w="850" w:type="dxa"/>
            <w:vAlign w:val="center"/>
          </w:tcPr>
          <w:p w14:paraId="4581FE15" w14:textId="179E059B" w:rsidR="00A0184B" w:rsidRPr="2E398A06" w:rsidRDefault="00A0184B" w:rsidP="00A0184B">
            <w:pPr>
              <w:jc w:val="right"/>
              <w:rPr>
                <w:rFonts w:ascii="Arial Narrow" w:eastAsia="Arial Narrow" w:hAnsi="Arial Narrow" w:cs="Arial Narrow"/>
                <w:color w:val="000000" w:themeColor="accent4"/>
                <w:sz w:val="18"/>
                <w:szCs w:val="18"/>
              </w:rPr>
            </w:pPr>
            <w:r w:rsidRPr="154E2B4A">
              <w:rPr>
                <w:rFonts w:ascii="Arial Narrow" w:eastAsia="Arial Narrow" w:hAnsi="Arial Narrow" w:cs="Arial Narrow"/>
                <w:sz w:val="18"/>
                <w:szCs w:val="18"/>
              </w:rPr>
              <w:t>60 %</w:t>
            </w:r>
          </w:p>
        </w:tc>
        <w:tc>
          <w:tcPr>
            <w:tcW w:w="851" w:type="dxa"/>
            <w:vAlign w:val="center"/>
          </w:tcPr>
          <w:p w14:paraId="26FD3CEE" w14:textId="2449D56A" w:rsidR="00A0184B" w:rsidRPr="2E398A06" w:rsidRDefault="00A0184B" w:rsidP="00A0184B">
            <w:pPr>
              <w:jc w:val="right"/>
              <w:rPr>
                <w:rFonts w:ascii="Arial Narrow" w:eastAsia="Arial Narrow" w:hAnsi="Arial Narrow" w:cs="Arial Narrow"/>
                <w:color w:val="000000" w:themeColor="accent4"/>
                <w:sz w:val="18"/>
                <w:szCs w:val="18"/>
              </w:rPr>
            </w:pPr>
            <w:r w:rsidRPr="154E2B4A">
              <w:rPr>
                <w:rFonts w:ascii="Arial Narrow" w:eastAsia="Arial Narrow" w:hAnsi="Arial Narrow" w:cs="Arial Narrow"/>
                <w:sz w:val="18"/>
                <w:szCs w:val="18"/>
              </w:rPr>
              <w:t>60 %</w:t>
            </w:r>
          </w:p>
        </w:tc>
        <w:tc>
          <w:tcPr>
            <w:tcW w:w="850" w:type="dxa"/>
            <w:vAlign w:val="center"/>
          </w:tcPr>
          <w:p w14:paraId="5C172D02" w14:textId="3F8D0FA3" w:rsidR="00A0184B" w:rsidRPr="2E398A06" w:rsidRDefault="00A0184B" w:rsidP="00A0184B">
            <w:pPr>
              <w:jc w:val="right"/>
              <w:rPr>
                <w:rFonts w:ascii="Arial Narrow" w:eastAsia="Arial Narrow" w:hAnsi="Arial Narrow" w:cs="Arial Narrow"/>
                <w:color w:val="000000" w:themeColor="accent4"/>
                <w:sz w:val="18"/>
                <w:szCs w:val="18"/>
              </w:rPr>
            </w:pPr>
            <w:r w:rsidRPr="154E2B4A">
              <w:rPr>
                <w:rFonts w:ascii="Arial Narrow" w:eastAsia="Arial Narrow" w:hAnsi="Arial Narrow" w:cs="Arial Narrow"/>
                <w:sz w:val="18"/>
                <w:szCs w:val="18"/>
              </w:rPr>
              <w:t>60 %</w:t>
            </w:r>
          </w:p>
        </w:tc>
        <w:tc>
          <w:tcPr>
            <w:tcW w:w="851" w:type="dxa"/>
            <w:vAlign w:val="center"/>
          </w:tcPr>
          <w:p w14:paraId="00268890" w14:textId="219DA8AC" w:rsidR="00A0184B" w:rsidRPr="2E398A06" w:rsidRDefault="00A0184B" w:rsidP="00A0184B">
            <w:pPr>
              <w:jc w:val="right"/>
              <w:rPr>
                <w:rFonts w:ascii="Arial Narrow" w:eastAsia="Arial Narrow" w:hAnsi="Arial Narrow" w:cs="Arial Narrow"/>
                <w:color w:val="000000" w:themeColor="accent4"/>
                <w:sz w:val="18"/>
                <w:szCs w:val="18"/>
              </w:rPr>
            </w:pPr>
            <w:r w:rsidRPr="154E2B4A">
              <w:rPr>
                <w:rFonts w:ascii="Arial Narrow" w:eastAsia="Arial Narrow" w:hAnsi="Arial Narrow" w:cs="Arial Narrow"/>
                <w:sz w:val="18"/>
                <w:szCs w:val="18"/>
              </w:rPr>
              <w:t>60 %</w:t>
            </w:r>
          </w:p>
        </w:tc>
      </w:tr>
      <w:tr w:rsidR="00A0184B" w14:paraId="6C0FE030" w14:textId="77777777" w:rsidTr="0054533F">
        <w:trPr>
          <w:trHeight w:val="285"/>
        </w:trPr>
        <w:tc>
          <w:tcPr>
            <w:tcW w:w="3686" w:type="dxa"/>
            <w:vAlign w:val="center"/>
          </w:tcPr>
          <w:p w14:paraId="7A02645F" w14:textId="0172AEA9" w:rsidR="00A0184B" w:rsidRPr="2E398A06" w:rsidRDefault="00A0184B" w:rsidP="00A0184B">
            <w:pPr>
              <w:jc w:val="lef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Verotuksen ja tilityksen aikataulupoikkeamat (kpl)</w:t>
            </w:r>
          </w:p>
        </w:tc>
        <w:tc>
          <w:tcPr>
            <w:tcW w:w="850" w:type="dxa"/>
            <w:vAlign w:val="center"/>
          </w:tcPr>
          <w:p w14:paraId="48D19522" w14:textId="27A337A1" w:rsidR="00A0184B" w:rsidRPr="2E398A06" w:rsidRDefault="00A0184B" w:rsidP="00A0184B">
            <w:pPr>
              <w:jc w:val="right"/>
              <w:rPr>
                <w:rFonts w:ascii="Arial Narrow" w:eastAsia="Arial Narrow" w:hAnsi="Arial Narrow" w:cs="Arial Narrow"/>
                <w:sz w:val="18"/>
                <w:szCs w:val="18"/>
              </w:rPr>
            </w:pPr>
            <w:r w:rsidRPr="30F716FB">
              <w:rPr>
                <w:rFonts w:ascii="Arial Narrow" w:eastAsia="Arial Narrow" w:hAnsi="Arial Narrow" w:cs="Arial Narrow"/>
                <w:sz w:val="18"/>
                <w:szCs w:val="18"/>
              </w:rPr>
              <w:t>0</w:t>
            </w:r>
          </w:p>
        </w:tc>
        <w:tc>
          <w:tcPr>
            <w:tcW w:w="850" w:type="dxa"/>
            <w:vAlign w:val="center"/>
          </w:tcPr>
          <w:p w14:paraId="2B5326AC" w14:textId="3B99D1BD"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1" w:type="dxa"/>
            <w:vAlign w:val="center"/>
          </w:tcPr>
          <w:p w14:paraId="2FFF6ED9" w14:textId="1710121F"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0" w:type="dxa"/>
            <w:vAlign w:val="center"/>
          </w:tcPr>
          <w:p w14:paraId="754C56EA" w14:textId="5E93F1F2"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1" w:type="dxa"/>
            <w:vAlign w:val="center"/>
          </w:tcPr>
          <w:p w14:paraId="0CAF5848" w14:textId="6CB5C414"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0" w:type="dxa"/>
            <w:vAlign w:val="center"/>
          </w:tcPr>
          <w:p w14:paraId="3DDA6CA4" w14:textId="14301413"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1" w:type="dxa"/>
            <w:vAlign w:val="center"/>
          </w:tcPr>
          <w:p w14:paraId="7F86A90A" w14:textId="137EEA75"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r>
      <w:tr w:rsidR="00A0184B" w14:paraId="004BDCF7" w14:textId="77777777" w:rsidTr="0054533F">
        <w:trPr>
          <w:trHeight w:val="285"/>
        </w:trPr>
        <w:tc>
          <w:tcPr>
            <w:tcW w:w="3686" w:type="dxa"/>
            <w:vAlign w:val="center"/>
          </w:tcPr>
          <w:p w14:paraId="1FE9984E" w14:textId="06F53DE9" w:rsidR="00A0184B" w:rsidRPr="2E398A06" w:rsidRDefault="00A0184B" w:rsidP="00A0184B">
            <w:pPr>
              <w:jc w:val="lef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Suunnittelemattomat käyttökatkot sähköisessä asioinnissa (päivää)</w:t>
            </w:r>
          </w:p>
        </w:tc>
        <w:tc>
          <w:tcPr>
            <w:tcW w:w="850" w:type="dxa"/>
            <w:vAlign w:val="center"/>
          </w:tcPr>
          <w:p w14:paraId="5F84BCB4" w14:textId="0954B7FD" w:rsidR="00A0184B" w:rsidRPr="2E398A06" w:rsidRDefault="00A0184B" w:rsidP="00A0184B">
            <w:pPr>
              <w:jc w:val="right"/>
              <w:rPr>
                <w:rFonts w:ascii="Arial Narrow" w:eastAsia="Arial Narrow" w:hAnsi="Arial Narrow" w:cs="Arial Narrow"/>
                <w:sz w:val="18"/>
                <w:szCs w:val="18"/>
              </w:rPr>
            </w:pPr>
            <w:r w:rsidRPr="30F716FB">
              <w:rPr>
                <w:rFonts w:ascii="Arial Narrow" w:eastAsia="Arial Narrow" w:hAnsi="Arial Narrow" w:cs="Arial Narrow"/>
                <w:sz w:val="18"/>
                <w:szCs w:val="18"/>
              </w:rPr>
              <w:t>2</w:t>
            </w:r>
          </w:p>
        </w:tc>
        <w:tc>
          <w:tcPr>
            <w:tcW w:w="850" w:type="dxa"/>
            <w:vAlign w:val="center"/>
          </w:tcPr>
          <w:p w14:paraId="02483377" w14:textId="12231C0F"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1" w:type="dxa"/>
            <w:vAlign w:val="center"/>
          </w:tcPr>
          <w:p w14:paraId="26EB0930" w14:textId="67F8394C"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0" w:type="dxa"/>
            <w:vAlign w:val="center"/>
          </w:tcPr>
          <w:p w14:paraId="21CC4FAE" w14:textId="38BB0E3F"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1" w:type="dxa"/>
            <w:vAlign w:val="center"/>
          </w:tcPr>
          <w:p w14:paraId="36199D81" w14:textId="7B1E6777"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0" w:type="dxa"/>
            <w:vAlign w:val="center"/>
          </w:tcPr>
          <w:p w14:paraId="0FBC28CB" w14:textId="5874459A"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c>
          <w:tcPr>
            <w:tcW w:w="851" w:type="dxa"/>
            <w:vAlign w:val="center"/>
          </w:tcPr>
          <w:p w14:paraId="4075BFCC" w14:textId="7F9F0B12"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0</w:t>
            </w:r>
          </w:p>
        </w:tc>
      </w:tr>
      <w:tr w:rsidR="00A0184B" w14:paraId="37AF4C47" w14:textId="77777777" w:rsidTr="0054533F">
        <w:trPr>
          <w:trHeight w:val="285"/>
        </w:trPr>
        <w:tc>
          <w:tcPr>
            <w:tcW w:w="3686" w:type="dxa"/>
            <w:vAlign w:val="center"/>
          </w:tcPr>
          <w:p w14:paraId="1A13D2A0" w14:textId="1378A17C" w:rsidR="00A0184B" w:rsidRPr="2E398A06" w:rsidRDefault="00A0184B" w:rsidP="00A0184B">
            <w:pPr>
              <w:jc w:val="lef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Puhelinasioinnin sujuvuus, verokorttipuheluiden vastausprosentti</w:t>
            </w:r>
          </w:p>
        </w:tc>
        <w:tc>
          <w:tcPr>
            <w:tcW w:w="850" w:type="dxa"/>
            <w:vAlign w:val="center"/>
          </w:tcPr>
          <w:p w14:paraId="058410B5" w14:textId="15D7D3E9" w:rsidR="00A0184B" w:rsidRPr="2E398A06" w:rsidRDefault="00A0184B" w:rsidP="00A0184B">
            <w:pPr>
              <w:jc w:val="right"/>
              <w:rPr>
                <w:rFonts w:ascii="Arial Narrow" w:eastAsia="Arial Narrow" w:hAnsi="Arial Narrow" w:cs="Arial Narrow"/>
                <w:sz w:val="18"/>
                <w:szCs w:val="18"/>
              </w:rPr>
            </w:pPr>
            <w:r w:rsidRPr="30F716FB">
              <w:rPr>
                <w:rFonts w:ascii="Arial Narrow" w:eastAsia="Arial Narrow" w:hAnsi="Arial Narrow" w:cs="Arial Narrow"/>
                <w:sz w:val="18"/>
                <w:szCs w:val="18"/>
              </w:rPr>
              <w:t>77</w:t>
            </w:r>
          </w:p>
        </w:tc>
        <w:tc>
          <w:tcPr>
            <w:tcW w:w="850" w:type="dxa"/>
            <w:vAlign w:val="center"/>
          </w:tcPr>
          <w:p w14:paraId="3681954B" w14:textId="22F98878" w:rsidR="00A0184B" w:rsidRPr="2E398A06" w:rsidRDefault="00E649A2" w:rsidP="00A0184B">
            <w:pPr>
              <w:jc w:val="right"/>
              <w:rPr>
                <w:rFonts w:ascii="Arial Narrow" w:eastAsia="Arial Narrow" w:hAnsi="Arial Narrow" w:cs="Arial Narrow"/>
                <w:color w:val="000000" w:themeColor="accent4"/>
                <w:sz w:val="18"/>
                <w:szCs w:val="18"/>
              </w:rPr>
            </w:pPr>
            <w:r>
              <w:rPr>
                <w:rFonts w:ascii="Arial Narrow" w:eastAsia="Arial Narrow" w:hAnsi="Arial Narrow" w:cs="Arial Narrow"/>
                <w:sz w:val="18"/>
                <w:szCs w:val="18"/>
              </w:rPr>
              <w:t>uusi mittari</w:t>
            </w:r>
          </w:p>
        </w:tc>
        <w:tc>
          <w:tcPr>
            <w:tcW w:w="851" w:type="dxa"/>
            <w:vAlign w:val="center"/>
          </w:tcPr>
          <w:p w14:paraId="24493829" w14:textId="7ADBFC17"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76</w:t>
            </w:r>
          </w:p>
        </w:tc>
        <w:tc>
          <w:tcPr>
            <w:tcW w:w="850" w:type="dxa"/>
            <w:vAlign w:val="center"/>
          </w:tcPr>
          <w:p w14:paraId="27FC5589" w14:textId="6462EE26"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75…80</w:t>
            </w:r>
          </w:p>
        </w:tc>
        <w:tc>
          <w:tcPr>
            <w:tcW w:w="851" w:type="dxa"/>
            <w:vAlign w:val="center"/>
          </w:tcPr>
          <w:p w14:paraId="166A3E0A" w14:textId="425701F2"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75…80</w:t>
            </w:r>
          </w:p>
        </w:tc>
        <w:tc>
          <w:tcPr>
            <w:tcW w:w="850" w:type="dxa"/>
            <w:vAlign w:val="center"/>
          </w:tcPr>
          <w:p w14:paraId="04DAD43D" w14:textId="1EF26819"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75…80</w:t>
            </w:r>
          </w:p>
        </w:tc>
        <w:tc>
          <w:tcPr>
            <w:tcW w:w="851" w:type="dxa"/>
            <w:vAlign w:val="center"/>
          </w:tcPr>
          <w:p w14:paraId="5A0CCA07" w14:textId="54904FFD"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75…80</w:t>
            </w:r>
          </w:p>
        </w:tc>
      </w:tr>
      <w:tr w:rsidR="00A0184B" w14:paraId="3E1A1E9F" w14:textId="77777777" w:rsidTr="0054533F">
        <w:trPr>
          <w:trHeight w:val="285"/>
        </w:trPr>
        <w:tc>
          <w:tcPr>
            <w:tcW w:w="3686" w:type="dxa"/>
            <w:vAlign w:val="center"/>
          </w:tcPr>
          <w:p w14:paraId="61F92847" w14:textId="3F596CA2" w:rsidR="00A0184B" w:rsidRPr="2E398A06" w:rsidRDefault="00A0184B" w:rsidP="00A0184B">
            <w:pPr>
              <w:jc w:val="lef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Puhelinasioinnin sujuvuus, muiden kuin verokorttipuheluiden vastausprosentti</w:t>
            </w:r>
          </w:p>
        </w:tc>
        <w:tc>
          <w:tcPr>
            <w:tcW w:w="850" w:type="dxa"/>
            <w:vAlign w:val="center"/>
          </w:tcPr>
          <w:p w14:paraId="2E8B0F73" w14:textId="64A966E1" w:rsidR="00A0184B" w:rsidRPr="2E398A06" w:rsidRDefault="00A0184B" w:rsidP="00A0184B">
            <w:pPr>
              <w:jc w:val="right"/>
              <w:rPr>
                <w:rFonts w:ascii="Arial Narrow" w:eastAsia="Arial Narrow" w:hAnsi="Arial Narrow" w:cs="Arial Narrow"/>
                <w:sz w:val="18"/>
                <w:szCs w:val="18"/>
              </w:rPr>
            </w:pPr>
            <w:r w:rsidRPr="30F716FB">
              <w:rPr>
                <w:rFonts w:ascii="Arial Narrow" w:eastAsia="Arial Narrow" w:hAnsi="Arial Narrow" w:cs="Arial Narrow"/>
                <w:sz w:val="18"/>
                <w:szCs w:val="18"/>
              </w:rPr>
              <w:t>81</w:t>
            </w:r>
          </w:p>
        </w:tc>
        <w:tc>
          <w:tcPr>
            <w:tcW w:w="850" w:type="dxa"/>
            <w:vAlign w:val="center"/>
          </w:tcPr>
          <w:p w14:paraId="27DC7895" w14:textId="40E6CBEE" w:rsidR="00A0184B" w:rsidRPr="2E398A06" w:rsidRDefault="00E649A2" w:rsidP="00A0184B">
            <w:pPr>
              <w:jc w:val="right"/>
              <w:rPr>
                <w:rFonts w:ascii="Arial Narrow" w:eastAsia="Arial Narrow" w:hAnsi="Arial Narrow" w:cs="Arial Narrow"/>
                <w:color w:val="000000" w:themeColor="accent4"/>
                <w:sz w:val="18"/>
                <w:szCs w:val="18"/>
              </w:rPr>
            </w:pPr>
            <w:r>
              <w:rPr>
                <w:rFonts w:ascii="Arial Narrow" w:eastAsia="Arial Narrow" w:hAnsi="Arial Narrow" w:cs="Arial Narrow"/>
                <w:sz w:val="18"/>
                <w:szCs w:val="18"/>
              </w:rPr>
              <w:t>uusi mittari</w:t>
            </w:r>
          </w:p>
        </w:tc>
        <w:tc>
          <w:tcPr>
            <w:tcW w:w="851" w:type="dxa"/>
            <w:vAlign w:val="center"/>
          </w:tcPr>
          <w:p w14:paraId="500AC2BF" w14:textId="1AB441FB"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81</w:t>
            </w:r>
          </w:p>
        </w:tc>
        <w:tc>
          <w:tcPr>
            <w:tcW w:w="850" w:type="dxa"/>
            <w:vAlign w:val="center"/>
          </w:tcPr>
          <w:p w14:paraId="47DDF254" w14:textId="1053EEA3"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78…82</w:t>
            </w:r>
          </w:p>
        </w:tc>
        <w:tc>
          <w:tcPr>
            <w:tcW w:w="851" w:type="dxa"/>
            <w:vAlign w:val="center"/>
          </w:tcPr>
          <w:p w14:paraId="28A64B4C" w14:textId="7EF69C62"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78…82</w:t>
            </w:r>
          </w:p>
        </w:tc>
        <w:tc>
          <w:tcPr>
            <w:tcW w:w="850" w:type="dxa"/>
            <w:vAlign w:val="center"/>
          </w:tcPr>
          <w:p w14:paraId="0EA360BA" w14:textId="55DA4C25"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78…82</w:t>
            </w:r>
          </w:p>
        </w:tc>
        <w:tc>
          <w:tcPr>
            <w:tcW w:w="851" w:type="dxa"/>
            <w:vAlign w:val="center"/>
          </w:tcPr>
          <w:p w14:paraId="2CC2894D" w14:textId="32A7FAB0"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78…82</w:t>
            </w:r>
          </w:p>
        </w:tc>
      </w:tr>
      <w:tr w:rsidR="00A0184B" w14:paraId="0FC6C324" w14:textId="77777777" w:rsidTr="0054533F">
        <w:trPr>
          <w:trHeight w:val="285"/>
        </w:trPr>
        <w:tc>
          <w:tcPr>
            <w:tcW w:w="3686" w:type="dxa"/>
            <w:vAlign w:val="center"/>
          </w:tcPr>
          <w:p w14:paraId="294B2196" w14:textId="71490435" w:rsidR="00A0184B" w:rsidRPr="2E398A06" w:rsidRDefault="00A0184B" w:rsidP="00A0184B">
            <w:pPr>
              <w:jc w:val="lef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Puhelinasiointiin tyytyväisten osuus, henkilöasiakkaat (%) tekstiviestikysely</w:t>
            </w:r>
          </w:p>
        </w:tc>
        <w:tc>
          <w:tcPr>
            <w:tcW w:w="850" w:type="dxa"/>
            <w:vAlign w:val="center"/>
          </w:tcPr>
          <w:p w14:paraId="42542F77" w14:textId="19335008" w:rsidR="00A0184B" w:rsidRPr="2E398A06" w:rsidRDefault="00A0184B" w:rsidP="00A0184B">
            <w:pPr>
              <w:jc w:val="right"/>
              <w:rPr>
                <w:rFonts w:ascii="Arial Narrow" w:eastAsia="Arial Narrow" w:hAnsi="Arial Narrow" w:cs="Arial Narrow"/>
                <w:sz w:val="18"/>
                <w:szCs w:val="18"/>
              </w:rPr>
            </w:pPr>
            <w:r w:rsidRPr="30F716FB">
              <w:rPr>
                <w:rFonts w:ascii="Arial Narrow" w:eastAsia="Arial Narrow" w:hAnsi="Arial Narrow" w:cs="Arial Narrow"/>
                <w:sz w:val="18"/>
                <w:szCs w:val="18"/>
              </w:rPr>
              <w:t>93</w:t>
            </w:r>
          </w:p>
        </w:tc>
        <w:tc>
          <w:tcPr>
            <w:tcW w:w="850" w:type="dxa"/>
            <w:vAlign w:val="center"/>
          </w:tcPr>
          <w:p w14:paraId="32ADB602" w14:textId="64C9F085" w:rsidR="00A0184B" w:rsidRPr="2E398A06" w:rsidRDefault="0052706A" w:rsidP="00A0184B">
            <w:pPr>
              <w:jc w:val="right"/>
              <w:rPr>
                <w:rFonts w:ascii="Arial Narrow" w:eastAsia="Arial Narrow" w:hAnsi="Arial Narrow" w:cs="Arial Narrow"/>
                <w:color w:val="000000" w:themeColor="accent4"/>
                <w:sz w:val="18"/>
                <w:szCs w:val="18"/>
              </w:rPr>
            </w:pPr>
            <w:r w:rsidRPr="1007C3B6">
              <w:rPr>
                <w:rFonts w:ascii="Arial Narrow" w:eastAsia="Arial Narrow" w:hAnsi="Arial Narrow" w:cs="Arial Narrow"/>
                <w:sz w:val="18"/>
                <w:szCs w:val="18"/>
              </w:rPr>
              <w:t xml:space="preserve">≥ </w:t>
            </w:r>
            <w:r w:rsidR="00A0184B" w:rsidRPr="30F716FB">
              <w:rPr>
                <w:rFonts w:ascii="Arial Narrow" w:eastAsia="Arial Narrow" w:hAnsi="Arial Narrow" w:cs="Arial Narrow"/>
                <w:sz w:val="18"/>
                <w:szCs w:val="18"/>
              </w:rPr>
              <w:t>85</w:t>
            </w:r>
          </w:p>
        </w:tc>
        <w:tc>
          <w:tcPr>
            <w:tcW w:w="851" w:type="dxa"/>
            <w:vAlign w:val="center"/>
          </w:tcPr>
          <w:p w14:paraId="4D2C3308" w14:textId="59BA29E0"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92</w:t>
            </w:r>
          </w:p>
        </w:tc>
        <w:tc>
          <w:tcPr>
            <w:tcW w:w="850" w:type="dxa"/>
            <w:vAlign w:val="center"/>
          </w:tcPr>
          <w:p w14:paraId="33AE9E9C" w14:textId="55E56EC9"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90</w:t>
            </w:r>
          </w:p>
        </w:tc>
        <w:tc>
          <w:tcPr>
            <w:tcW w:w="851" w:type="dxa"/>
            <w:vAlign w:val="center"/>
          </w:tcPr>
          <w:p w14:paraId="4D07A54E" w14:textId="5DD7EAE3"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90</w:t>
            </w:r>
          </w:p>
        </w:tc>
        <w:tc>
          <w:tcPr>
            <w:tcW w:w="850" w:type="dxa"/>
            <w:vAlign w:val="center"/>
          </w:tcPr>
          <w:p w14:paraId="395D8AFC" w14:textId="3F5AE673"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90</w:t>
            </w:r>
          </w:p>
        </w:tc>
        <w:tc>
          <w:tcPr>
            <w:tcW w:w="851" w:type="dxa"/>
            <w:vAlign w:val="center"/>
          </w:tcPr>
          <w:p w14:paraId="54A9C3BB" w14:textId="1D479768"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90</w:t>
            </w:r>
          </w:p>
        </w:tc>
      </w:tr>
      <w:tr w:rsidR="00A0184B" w14:paraId="4B49C61F" w14:textId="77777777" w:rsidTr="0054533F">
        <w:trPr>
          <w:trHeight w:val="285"/>
        </w:trPr>
        <w:tc>
          <w:tcPr>
            <w:tcW w:w="3686" w:type="dxa"/>
            <w:vAlign w:val="center"/>
          </w:tcPr>
          <w:p w14:paraId="0057EDCD" w14:textId="5E882B26" w:rsidR="00A0184B" w:rsidRPr="2E398A06" w:rsidRDefault="00A0184B" w:rsidP="00A0184B">
            <w:pPr>
              <w:jc w:val="lef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xml:space="preserve">Puhelinasiointiin tyytyväisten osuus, yritysasiakkaat (%) tekstiviestikysely </w:t>
            </w:r>
          </w:p>
        </w:tc>
        <w:tc>
          <w:tcPr>
            <w:tcW w:w="850" w:type="dxa"/>
            <w:vAlign w:val="center"/>
          </w:tcPr>
          <w:p w14:paraId="484A9210" w14:textId="28EC3DC1" w:rsidR="00A0184B" w:rsidRPr="2E398A06" w:rsidRDefault="00A0184B" w:rsidP="00A0184B">
            <w:pPr>
              <w:jc w:val="right"/>
              <w:rPr>
                <w:rFonts w:ascii="Arial Narrow" w:eastAsia="Arial Narrow" w:hAnsi="Arial Narrow" w:cs="Arial Narrow"/>
                <w:sz w:val="18"/>
                <w:szCs w:val="18"/>
              </w:rPr>
            </w:pPr>
            <w:r w:rsidRPr="30F716FB">
              <w:rPr>
                <w:rFonts w:ascii="Arial Narrow" w:eastAsia="Arial Narrow" w:hAnsi="Arial Narrow" w:cs="Arial Narrow"/>
                <w:sz w:val="18"/>
                <w:szCs w:val="18"/>
              </w:rPr>
              <w:t>85</w:t>
            </w:r>
          </w:p>
        </w:tc>
        <w:tc>
          <w:tcPr>
            <w:tcW w:w="850" w:type="dxa"/>
            <w:vAlign w:val="center"/>
          </w:tcPr>
          <w:p w14:paraId="6FD23951" w14:textId="321CFEC0" w:rsidR="00A0184B" w:rsidRPr="2E398A06" w:rsidRDefault="0052706A" w:rsidP="00A0184B">
            <w:pPr>
              <w:jc w:val="right"/>
              <w:rPr>
                <w:rFonts w:ascii="Arial Narrow" w:eastAsia="Arial Narrow" w:hAnsi="Arial Narrow" w:cs="Arial Narrow"/>
                <w:color w:val="000000" w:themeColor="accent4"/>
                <w:sz w:val="18"/>
                <w:szCs w:val="18"/>
              </w:rPr>
            </w:pPr>
            <w:r w:rsidRPr="1007C3B6">
              <w:rPr>
                <w:rFonts w:ascii="Arial Narrow" w:eastAsia="Arial Narrow" w:hAnsi="Arial Narrow" w:cs="Arial Narrow"/>
                <w:sz w:val="18"/>
                <w:szCs w:val="18"/>
              </w:rPr>
              <w:t xml:space="preserve">≥ </w:t>
            </w:r>
            <w:r w:rsidR="00A0184B" w:rsidRPr="30F716FB">
              <w:rPr>
                <w:rFonts w:ascii="Arial Narrow" w:eastAsia="Arial Narrow" w:hAnsi="Arial Narrow" w:cs="Arial Narrow"/>
                <w:sz w:val="18"/>
                <w:szCs w:val="18"/>
              </w:rPr>
              <w:t>85</w:t>
            </w:r>
          </w:p>
        </w:tc>
        <w:tc>
          <w:tcPr>
            <w:tcW w:w="851" w:type="dxa"/>
            <w:vAlign w:val="center"/>
          </w:tcPr>
          <w:p w14:paraId="6EEDC7EB" w14:textId="34FC538B"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87</w:t>
            </w:r>
          </w:p>
        </w:tc>
        <w:tc>
          <w:tcPr>
            <w:tcW w:w="850" w:type="dxa"/>
            <w:vAlign w:val="center"/>
          </w:tcPr>
          <w:p w14:paraId="331B6700" w14:textId="4F1DDC87"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85</w:t>
            </w:r>
          </w:p>
        </w:tc>
        <w:tc>
          <w:tcPr>
            <w:tcW w:w="851" w:type="dxa"/>
            <w:vAlign w:val="center"/>
          </w:tcPr>
          <w:p w14:paraId="3D4B42BE" w14:textId="47A20980"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85</w:t>
            </w:r>
          </w:p>
        </w:tc>
        <w:tc>
          <w:tcPr>
            <w:tcW w:w="850" w:type="dxa"/>
            <w:vAlign w:val="center"/>
          </w:tcPr>
          <w:p w14:paraId="0B4C4167" w14:textId="2E5340E7"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85</w:t>
            </w:r>
          </w:p>
        </w:tc>
        <w:tc>
          <w:tcPr>
            <w:tcW w:w="851" w:type="dxa"/>
            <w:vAlign w:val="center"/>
          </w:tcPr>
          <w:p w14:paraId="0775BFBF" w14:textId="4AEDA9BF"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85</w:t>
            </w:r>
          </w:p>
        </w:tc>
      </w:tr>
      <w:tr w:rsidR="00A0184B" w14:paraId="433B1090" w14:textId="77777777" w:rsidTr="0054533F">
        <w:trPr>
          <w:trHeight w:val="285"/>
        </w:trPr>
        <w:tc>
          <w:tcPr>
            <w:tcW w:w="3686" w:type="dxa"/>
            <w:vAlign w:val="center"/>
          </w:tcPr>
          <w:p w14:paraId="05A6ACC1" w14:textId="1A95D756" w:rsidR="00A0184B" w:rsidRPr="2E398A06" w:rsidRDefault="00A0184B" w:rsidP="00A0184B">
            <w:pPr>
              <w:jc w:val="lef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xml:space="preserve">Puhelinasiointiin tyytyväisten osuus, kaikki (%) tekstiviestikysely </w:t>
            </w:r>
          </w:p>
        </w:tc>
        <w:tc>
          <w:tcPr>
            <w:tcW w:w="850" w:type="dxa"/>
            <w:vAlign w:val="center"/>
          </w:tcPr>
          <w:p w14:paraId="663E1BD0" w14:textId="0172B4A5" w:rsidR="00A0184B" w:rsidRPr="2E398A06" w:rsidRDefault="00A0184B" w:rsidP="00A0184B">
            <w:pPr>
              <w:jc w:val="right"/>
              <w:rPr>
                <w:rFonts w:ascii="Arial Narrow" w:eastAsia="Arial Narrow" w:hAnsi="Arial Narrow" w:cs="Arial Narrow"/>
                <w:sz w:val="18"/>
                <w:szCs w:val="18"/>
              </w:rPr>
            </w:pPr>
            <w:r w:rsidRPr="30F716FB">
              <w:rPr>
                <w:rFonts w:ascii="Arial Narrow" w:eastAsia="Arial Narrow" w:hAnsi="Arial Narrow" w:cs="Arial Narrow"/>
                <w:sz w:val="18"/>
                <w:szCs w:val="18"/>
              </w:rPr>
              <w:t>90</w:t>
            </w:r>
          </w:p>
        </w:tc>
        <w:tc>
          <w:tcPr>
            <w:tcW w:w="850" w:type="dxa"/>
            <w:vAlign w:val="center"/>
          </w:tcPr>
          <w:p w14:paraId="77BDE123" w14:textId="1D65DCD3" w:rsidR="00A0184B" w:rsidRPr="2E398A06" w:rsidRDefault="0052706A" w:rsidP="00A0184B">
            <w:pPr>
              <w:jc w:val="right"/>
              <w:rPr>
                <w:rFonts w:ascii="Arial Narrow" w:eastAsia="Arial Narrow" w:hAnsi="Arial Narrow" w:cs="Arial Narrow"/>
                <w:color w:val="000000" w:themeColor="accent4"/>
                <w:sz w:val="18"/>
                <w:szCs w:val="18"/>
              </w:rPr>
            </w:pPr>
            <w:r w:rsidRPr="1007C3B6">
              <w:rPr>
                <w:rFonts w:ascii="Arial Narrow" w:eastAsia="Arial Narrow" w:hAnsi="Arial Narrow" w:cs="Arial Narrow"/>
                <w:sz w:val="18"/>
                <w:szCs w:val="18"/>
              </w:rPr>
              <w:t xml:space="preserve">≥ </w:t>
            </w:r>
            <w:r w:rsidR="00A0184B" w:rsidRPr="30F716FB">
              <w:rPr>
                <w:rFonts w:ascii="Arial Narrow" w:eastAsia="Arial Narrow" w:hAnsi="Arial Narrow" w:cs="Arial Narrow"/>
                <w:sz w:val="18"/>
                <w:szCs w:val="18"/>
              </w:rPr>
              <w:t>85</w:t>
            </w:r>
          </w:p>
        </w:tc>
        <w:tc>
          <w:tcPr>
            <w:tcW w:w="851" w:type="dxa"/>
            <w:vAlign w:val="center"/>
          </w:tcPr>
          <w:p w14:paraId="4A72EF1B" w14:textId="23191015"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91</w:t>
            </w:r>
          </w:p>
        </w:tc>
        <w:tc>
          <w:tcPr>
            <w:tcW w:w="850" w:type="dxa"/>
            <w:vAlign w:val="center"/>
          </w:tcPr>
          <w:p w14:paraId="364BAE29" w14:textId="138AB79B"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88</w:t>
            </w:r>
          </w:p>
        </w:tc>
        <w:tc>
          <w:tcPr>
            <w:tcW w:w="851" w:type="dxa"/>
            <w:vAlign w:val="center"/>
          </w:tcPr>
          <w:p w14:paraId="10651C16" w14:textId="4BB27975"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88</w:t>
            </w:r>
          </w:p>
        </w:tc>
        <w:tc>
          <w:tcPr>
            <w:tcW w:w="850" w:type="dxa"/>
            <w:vAlign w:val="center"/>
          </w:tcPr>
          <w:p w14:paraId="11F32C85" w14:textId="18EA4BEB"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88</w:t>
            </w:r>
          </w:p>
        </w:tc>
        <w:tc>
          <w:tcPr>
            <w:tcW w:w="851" w:type="dxa"/>
            <w:vAlign w:val="center"/>
          </w:tcPr>
          <w:p w14:paraId="38FFAA75" w14:textId="6F6F4066"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88</w:t>
            </w:r>
          </w:p>
        </w:tc>
      </w:tr>
      <w:tr w:rsidR="00A0184B" w14:paraId="5EE937AC" w14:textId="77777777" w:rsidTr="0054533F">
        <w:trPr>
          <w:trHeight w:val="285"/>
        </w:trPr>
        <w:tc>
          <w:tcPr>
            <w:tcW w:w="3686" w:type="dxa"/>
            <w:vAlign w:val="center"/>
          </w:tcPr>
          <w:p w14:paraId="038F8096" w14:textId="1A067494" w:rsidR="00A0184B" w:rsidRPr="2E398A06" w:rsidRDefault="00A0184B" w:rsidP="00A0184B">
            <w:pPr>
              <w:jc w:val="lef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Verotuspäätösten pysyvyys (HAO) (%)</w:t>
            </w:r>
          </w:p>
        </w:tc>
        <w:tc>
          <w:tcPr>
            <w:tcW w:w="850" w:type="dxa"/>
            <w:vAlign w:val="center"/>
          </w:tcPr>
          <w:p w14:paraId="3344AFFE" w14:textId="04B31E6C" w:rsidR="00A0184B" w:rsidRPr="2E398A06" w:rsidRDefault="00A0184B" w:rsidP="00A0184B">
            <w:pPr>
              <w:jc w:val="right"/>
              <w:rPr>
                <w:rFonts w:ascii="Arial Narrow" w:eastAsia="Arial Narrow" w:hAnsi="Arial Narrow" w:cs="Arial Narrow"/>
                <w:sz w:val="18"/>
                <w:szCs w:val="18"/>
              </w:rPr>
            </w:pPr>
            <w:r w:rsidRPr="30F716FB">
              <w:rPr>
                <w:rFonts w:ascii="Arial Narrow" w:eastAsia="Arial Narrow" w:hAnsi="Arial Narrow" w:cs="Arial Narrow"/>
                <w:sz w:val="18"/>
                <w:szCs w:val="18"/>
              </w:rPr>
              <w:t>86</w:t>
            </w:r>
          </w:p>
        </w:tc>
        <w:tc>
          <w:tcPr>
            <w:tcW w:w="850" w:type="dxa"/>
            <w:vAlign w:val="center"/>
          </w:tcPr>
          <w:p w14:paraId="6D207145" w14:textId="67D552A8" w:rsidR="00A0184B" w:rsidRPr="2E398A06" w:rsidRDefault="0052706A" w:rsidP="00A0184B">
            <w:pPr>
              <w:jc w:val="right"/>
              <w:rPr>
                <w:rFonts w:ascii="Arial Narrow" w:eastAsia="Arial Narrow" w:hAnsi="Arial Narrow" w:cs="Arial Narrow"/>
                <w:color w:val="000000" w:themeColor="accent4"/>
                <w:sz w:val="18"/>
                <w:szCs w:val="18"/>
              </w:rPr>
            </w:pPr>
            <w:r w:rsidRPr="1007C3B6">
              <w:rPr>
                <w:rFonts w:ascii="Arial Narrow" w:eastAsia="Arial Narrow" w:hAnsi="Arial Narrow" w:cs="Arial Narrow"/>
                <w:sz w:val="18"/>
                <w:szCs w:val="18"/>
              </w:rPr>
              <w:t xml:space="preserve">≥ </w:t>
            </w:r>
            <w:r w:rsidR="00A0184B" w:rsidRPr="30F716FB">
              <w:rPr>
                <w:rFonts w:ascii="Arial Narrow" w:eastAsia="Arial Narrow" w:hAnsi="Arial Narrow" w:cs="Arial Narrow"/>
                <w:sz w:val="18"/>
                <w:szCs w:val="18"/>
              </w:rPr>
              <w:t>85</w:t>
            </w:r>
          </w:p>
        </w:tc>
        <w:tc>
          <w:tcPr>
            <w:tcW w:w="851" w:type="dxa"/>
            <w:vAlign w:val="center"/>
          </w:tcPr>
          <w:p w14:paraId="10A667A5" w14:textId="7F1EC97C" w:rsidR="00A0184B" w:rsidRPr="2E398A06" w:rsidRDefault="00330C4E" w:rsidP="00A0184B">
            <w:pPr>
              <w:jc w:val="right"/>
              <w:rPr>
                <w:rFonts w:ascii="Arial Narrow" w:eastAsia="Arial Narrow" w:hAnsi="Arial Narrow" w:cs="Arial Narrow"/>
                <w:color w:val="000000" w:themeColor="accent4"/>
                <w:sz w:val="18"/>
                <w:szCs w:val="18"/>
              </w:rPr>
            </w:pPr>
            <w:r>
              <w:rPr>
                <w:rFonts w:ascii="Arial Narrow" w:eastAsia="Arial Narrow" w:hAnsi="Arial Narrow" w:cs="Arial Narrow"/>
                <w:sz w:val="18"/>
                <w:szCs w:val="18"/>
              </w:rPr>
              <w:t>ei saatavilla</w:t>
            </w:r>
          </w:p>
        </w:tc>
        <w:tc>
          <w:tcPr>
            <w:tcW w:w="850" w:type="dxa"/>
            <w:vAlign w:val="center"/>
          </w:tcPr>
          <w:p w14:paraId="5AE2D6EB" w14:textId="580809F0"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85</w:t>
            </w:r>
          </w:p>
        </w:tc>
        <w:tc>
          <w:tcPr>
            <w:tcW w:w="851" w:type="dxa"/>
            <w:vAlign w:val="center"/>
          </w:tcPr>
          <w:p w14:paraId="4B5BD521" w14:textId="4772344C"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85</w:t>
            </w:r>
          </w:p>
        </w:tc>
        <w:tc>
          <w:tcPr>
            <w:tcW w:w="850" w:type="dxa"/>
            <w:vAlign w:val="center"/>
          </w:tcPr>
          <w:p w14:paraId="1D0C3213" w14:textId="034D27F9"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85</w:t>
            </w:r>
          </w:p>
        </w:tc>
        <w:tc>
          <w:tcPr>
            <w:tcW w:w="851" w:type="dxa"/>
            <w:vAlign w:val="center"/>
          </w:tcPr>
          <w:p w14:paraId="77E9C9A2" w14:textId="42031F33" w:rsidR="00A0184B" w:rsidRPr="2E398A06" w:rsidRDefault="00A0184B" w:rsidP="00A0184B">
            <w:pPr>
              <w:jc w:val="right"/>
              <w:rPr>
                <w:rFonts w:ascii="Arial Narrow" w:eastAsia="Arial Narrow" w:hAnsi="Arial Narrow" w:cs="Arial Narrow"/>
                <w:color w:val="000000" w:themeColor="accent4"/>
                <w:sz w:val="18"/>
                <w:szCs w:val="18"/>
              </w:rPr>
            </w:pPr>
            <w:r w:rsidRPr="30F716FB">
              <w:rPr>
                <w:rFonts w:ascii="Arial Narrow" w:eastAsia="Arial Narrow" w:hAnsi="Arial Narrow" w:cs="Arial Narrow"/>
                <w:sz w:val="18"/>
                <w:szCs w:val="18"/>
              </w:rPr>
              <w:t>≥ 85</w:t>
            </w:r>
          </w:p>
        </w:tc>
      </w:tr>
      <w:tr w:rsidR="00A0184B" w14:paraId="7935A004" w14:textId="77777777" w:rsidTr="0054533F">
        <w:trPr>
          <w:trHeight w:val="285"/>
        </w:trPr>
        <w:tc>
          <w:tcPr>
            <w:tcW w:w="3686" w:type="dxa"/>
            <w:vAlign w:val="center"/>
          </w:tcPr>
          <w:p w14:paraId="3F84AEE8" w14:textId="48BE668E" w:rsidR="00A0184B" w:rsidRPr="2E398A06" w:rsidRDefault="00A0184B" w:rsidP="00A0184B">
            <w:pPr>
              <w:jc w:val="lef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Työtyytyväisyys (VMBaro</w:t>
            </w:r>
            <w:r w:rsidR="00FF5BAE">
              <w:rPr>
                <w:rFonts w:ascii="Arial Narrow" w:eastAsia="Arial Narrow" w:hAnsi="Arial Narrow" w:cs="Arial Narrow"/>
                <w:sz w:val="18"/>
                <w:szCs w:val="18"/>
              </w:rPr>
              <w:t xml:space="preserve">, asteikko </w:t>
            </w:r>
            <w:proofErr w:type="gramStart"/>
            <w:r w:rsidR="00FF5BAE">
              <w:rPr>
                <w:rFonts w:ascii="Arial Narrow" w:eastAsia="Arial Narrow" w:hAnsi="Arial Narrow" w:cs="Arial Narrow"/>
                <w:sz w:val="18"/>
                <w:szCs w:val="18"/>
              </w:rPr>
              <w:t>1-5</w:t>
            </w:r>
            <w:proofErr w:type="gramEnd"/>
            <w:r w:rsidRPr="1E24625B">
              <w:rPr>
                <w:rFonts w:ascii="Arial Narrow" w:eastAsia="Arial Narrow" w:hAnsi="Arial Narrow" w:cs="Arial Narrow"/>
                <w:sz w:val="18"/>
                <w:szCs w:val="18"/>
              </w:rPr>
              <w:t>)</w:t>
            </w:r>
          </w:p>
        </w:tc>
        <w:tc>
          <w:tcPr>
            <w:tcW w:w="850" w:type="dxa"/>
            <w:vAlign w:val="center"/>
          </w:tcPr>
          <w:p w14:paraId="6036C189" w14:textId="61F7D065" w:rsidR="00A0184B" w:rsidRPr="2E398A06" w:rsidRDefault="00A0184B" w:rsidP="00A0184B">
            <w:pPr>
              <w:jc w:val="right"/>
              <w:rPr>
                <w:rFonts w:ascii="Arial Narrow" w:eastAsia="Arial Narrow" w:hAnsi="Arial Narrow" w:cs="Arial Narrow"/>
                <w:sz w:val="18"/>
                <w:szCs w:val="18"/>
              </w:rPr>
            </w:pPr>
            <w:r w:rsidRPr="1E24625B">
              <w:rPr>
                <w:rFonts w:ascii="Arial Narrow" w:eastAsia="Arial Narrow" w:hAnsi="Arial Narrow" w:cs="Arial Narrow"/>
                <w:color w:val="000000" w:themeColor="accent4"/>
                <w:sz w:val="18"/>
                <w:szCs w:val="18"/>
              </w:rPr>
              <w:t>3,70</w:t>
            </w:r>
          </w:p>
        </w:tc>
        <w:tc>
          <w:tcPr>
            <w:tcW w:w="850" w:type="dxa"/>
            <w:vAlign w:val="center"/>
          </w:tcPr>
          <w:p w14:paraId="2FAB9B02" w14:textId="50880CB8" w:rsidR="00A0184B" w:rsidRPr="2E398A06" w:rsidRDefault="00A60D45"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xml:space="preserve">≥ </w:t>
            </w:r>
            <w:r w:rsidR="00A0184B" w:rsidRPr="1E24625B">
              <w:rPr>
                <w:rFonts w:ascii="Arial Narrow" w:eastAsia="Arial Narrow" w:hAnsi="Arial Narrow" w:cs="Arial Narrow"/>
                <w:sz w:val="18"/>
                <w:szCs w:val="18"/>
              </w:rPr>
              <w:t>3,70</w:t>
            </w:r>
          </w:p>
        </w:tc>
        <w:tc>
          <w:tcPr>
            <w:tcW w:w="851" w:type="dxa"/>
            <w:vAlign w:val="center"/>
          </w:tcPr>
          <w:p w14:paraId="65666754" w14:textId="30F7B3FA"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3,77</w:t>
            </w:r>
          </w:p>
        </w:tc>
        <w:tc>
          <w:tcPr>
            <w:tcW w:w="850" w:type="dxa"/>
            <w:vAlign w:val="center"/>
          </w:tcPr>
          <w:p w14:paraId="2496E5EC" w14:textId="29C053C4"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3,7</w:t>
            </w:r>
          </w:p>
        </w:tc>
        <w:tc>
          <w:tcPr>
            <w:tcW w:w="851" w:type="dxa"/>
            <w:vAlign w:val="center"/>
          </w:tcPr>
          <w:p w14:paraId="4BFF517F" w14:textId="525A46CA"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3,7</w:t>
            </w:r>
          </w:p>
        </w:tc>
        <w:tc>
          <w:tcPr>
            <w:tcW w:w="850" w:type="dxa"/>
            <w:vAlign w:val="center"/>
          </w:tcPr>
          <w:p w14:paraId="1CE648E9" w14:textId="6C5AA340"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3,7</w:t>
            </w:r>
          </w:p>
        </w:tc>
        <w:tc>
          <w:tcPr>
            <w:tcW w:w="851" w:type="dxa"/>
            <w:vAlign w:val="center"/>
          </w:tcPr>
          <w:p w14:paraId="4987C8F8" w14:textId="6C35AF5B"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3,7</w:t>
            </w:r>
          </w:p>
        </w:tc>
      </w:tr>
      <w:tr w:rsidR="00A0184B" w14:paraId="17219655" w14:textId="77777777" w:rsidTr="0054533F">
        <w:trPr>
          <w:trHeight w:val="285"/>
        </w:trPr>
        <w:tc>
          <w:tcPr>
            <w:tcW w:w="3686" w:type="dxa"/>
            <w:vAlign w:val="center"/>
          </w:tcPr>
          <w:p w14:paraId="47BBC461" w14:textId="62951F7B" w:rsidR="00A0184B" w:rsidRPr="2E398A06" w:rsidRDefault="00A0184B" w:rsidP="00A0184B">
            <w:pPr>
              <w:jc w:val="lef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Sairauspoissaolot (työpäivää / htv)</w:t>
            </w:r>
          </w:p>
        </w:tc>
        <w:tc>
          <w:tcPr>
            <w:tcW w:w="850" w:type="dxa"/>
            <w:vAlign w:val="center"/>
          </w:tcPr>
          <w:p w14:paraId="0969A551" w14:textId="0DE5A168" w:rsidR="00A0184B" w:rsidRPr="2E398A06" w:rsidRDefault="00A0184B" w:rsidP="00A0184B">
            <w:pPr>
              <w:jc w:val="right"/>
              <w:rPr>
                <w:rFonts w:ascii="Arial Narrow" w:eastAsia="Arial Narrow" w:hAnsi="Arial Narrow" w:cs="Arial Narrow"/>
                <w:sz w:val="18"/>
                <w:szCs w:val="18"/>
              </w:rPr>
            </w:pPr>
            <w:r w:rsidRPr="1E24625B">
              <w:rPr>
                <w:rFonts w:ascii="Arial Narrow" w:eastAsia="Arial Narrow" w:hAnsi="Arial Narrow" w:cs="Arial Narrow"/>
                <w:color w:val="000000" w:themeColor="accent4"/>
                <w:sz w:val="18"/>
                <w:szCs w:val="18"/>
              </w:rPr>
              <w:t>8,2</w:t>
            </w:r>
          </w:p>
        </w:tc>
        <w:tc>
          <w:tcPr>
            <w:tcW w:w="850" w:type="dxa"/>
            <w:vAlign w:val="center"/>
          </w:tcPr>
          <w:p w14:paraId="34F7D35E" w14:textId="3EC8DAE2" w:rsidR="00A0184B" w:rsidRPr="2E398A06" w:rsidRDefault="001A0C05"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w:t>
            </w:r>
            <w:r>
              <w:rPr>
                <w:rFonts w:ascii="Arial Narrow" w:eastAsia="Arial Narrow" w:hAnsi="Arial Narrow" w:cs="Arial Narrow"/>
                <w:sz w:val="18"/>
                <w:szCs w:val="18"/>
              </w:rPr>
              <w:t xml:space="preserve"> </w:t>
            </w:r>
            <w:r w:rsidR="00A0184B" w:rsidRPr="1E24625B">
              <w:rPr>
                <w:rFonts w:ascii="Arial Narrow" w:eastAsia="Arial Narrow" w:hAnsi="Arial Narrow" w:cs="Arial Narrow"/>
                <w:sz w:val="18"/>
                <w:szCs w:val="18"/>
              </w:rPr>
              <w:t>8,5</w:t>
            </w:r>
          </w:p>
        </w:tc>
        <w:tc>
          <w:tcPr>
            <w:tcW w:w="851" w:type="dxa"/>
            <w:vAlign w:val="center"/>
          </w:tcPr>
          <w:p w14:paraId="227486CE" w14:textId="365BCF29"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10,5 *</w:t>
            </w:r>
            <w:r w:rsidRPr="1E24625B">
              <w:rPr>
                <w:rFonts w:ascii="Arial Narrow" w:eastAsia="Arial Narrow" w:hAnsi="Arial Narrow" w:cs="Arial Narrow"/>
                <w:sz w:val="18"/>
                <w:szCs w:val="18"/>
                <w:vertAlign w:val="superscript"/>
              </w:rPr>
              <w:t>)</w:t>
            </w:r>
          </w:p>
        </w:tc>
        <w:tc>
          <w:tcPr>
            <w:tcW w:w="850" w:type="dxa"/>
            <w:vAlign w:val="center"/>
          </w:tcPr>
          <w:p w14:paraId="6B645584" w14:textId="7B27206C"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9,0</w:t>
            </w:r>
          </w:p>
        </w:tc>
        <w:tc>
          <w:tcPr>
            <w:tcW w:w="851" w:type="dxa"/>
            <w:vAlign w:val="center"/>
          </w:tcPr>
          <w:p w14:paraId="03318A24" w14:textId="2713C8D8"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8,5</w:t>
            </w:r>
          </w:p>
        </w:tc>
        <w:tc>
          <w:tcPr>
            <w:tcW w:w="850" w:type="dxa"/>
            <w:vAlign w:val="center"/>
          </w:tcPr>
          <w:p w14:paraId="1E8D2AD2" w14:textId="3D0CD8D1"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8,5</w:t>
            </w:r>
          </w:p>
        </w:tc>
        <w:tc>
          <w:tcPr>
            <w:tcW w:w="851" w:type="dxa"/>
            <w:vAlign w:val="center"/>
          </w:tcPr>
          <w:p w14:paraId="28B0866C" w14:textId="30E6954E"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8,5</w:t>
            </w:r>
          </w:p>
        </w:tc>
      </w:tr>
      <w:tr w:rsidR="00A0184B" w14:paraId="0FD058B3" w14:textId="77777777" w:rsidTr="0054533F">
        <w:trPr>
          <w:trHeight w:val="285"/>
        </w:trPr>
        <w:tc>
          <w:tcPr>
            <w:tcW w:w="3686" w:type="dxa"/>
            <w:vAlign w:val="center"/>
          </w:tcPr>
          <w:p w14:paraId="677806B5" w14:textId="37A3A699" w:rsidR="00A0184B" w:rsidRPr="2E398A06" w:rsidRDefault="00A0184B" w:rsidP="00A0184B">
            <w:pPr>
              <w:jc w:val="lef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xml:space="preserve">Johtajuusindeksi </w:t>
            </w:r>
            <w:r w:rsidR="00FF5BAE" w:rsidRPr="1E24625B">
              <w:rPr>
                <w:rFonts w:ascii="Arial Narrow" w:eastAsia="Arial Narrow" w:hAnsi="Arial Narrow" w:cs="Arial Narrow"/>
                <w:sz w:val="18"/>
                <w:szCs w:val="18"/>
              </w:rPr>
              <w:t>(VMBaro</w:t>
            </w:r>
            <w:r w:rsidR="00FF5BAE">
              <w:rPr>
                <w:rFonts w:ascii="Arial Narrow" w:eastAsia="Arial Narrow" w:hAnsi="Arial Narrow" w:cs="Arial Narrow"/>
                <w:sz w:val="18"/>
                <w:szCs w:val="18"/>
              </w:rPr>
              <w:t xml:space="preserve">, asteikko </w:t>
            </w:r>
            <w:proofErr w:type="gramStart"/>
            <w:r w:rsidR="00FF5BAE">
              <w:rPr>
                <w:rFonts w:ascii="Arial Narrow" w:eastAsia="Arial Narrow" w:hAnsi="Arial Narrow" w:cs="Arial Narrow"/>
                <w:sz w:val="18"/>
                <w:szCs w:val="18"/>
              </w:rPr>
              <w:t>1-5</w:t>
            </w:r>
            <w:proofErr w:type="gramEnd"/>
            <w:r w:rsidR="00FF5BAE" w:rsidRPr="1E24625B">
              <w:rPr>
                <w:rFonts w:ascii="Arial Narrow" w:eastAsia="Arial Narrow" w:hAnsi="Arial Narrow" w:cs="Arial Narrow"/>
                <w:sz w:val="18"/>
                <w:szCs w:val="18"/>
              </w:rPr>
              <w:t>)</w:t>
            </w:r>
          </w:p>
        </w:tc>
        <w:tc>
          <w:tcPr>
            <w:tcW w:w="850" w:type="dxa"/>
            <w:vAlign w:val="center"/>
          </w:tcPr>
          <w:p w14:paraId="02A62DE4" w14:textId="61F900DD" w:rsidR="00A0184B" w:rsidRPr="2E398A06" w:rsidRDefault="00A0184B" w:rsidP="00A0184B">
            <w:pPr>
              <w:jc w:val="right"/>
              <w:rPr>
                <w:rFonts w:ascii="Arial Narrow" w:eastAsia="Arial Narrow" w:hAnsi="Arial Narrow" w:cs="Arial Narrow"/>
                <w:sz w:val="18"/>
                <w:szCs w:val="18"/>
              </w:rPr>
            </w:pPr>
            <w:r w:rsidRPr="1E24625B">
              <w:rPr>
                <w:rFonts w:ascii="Arial Narrow" w:eastAsia="Arial Narrow" w:hAnsi="Arial Narrow" w:cs="Arial Narrow"/>
                <w:color w:val="000000" w:themeColor="accent4"/>
                <w:sz w:val="18"/>
                <w:szCs w:val="18"/>
              </w:rPr>
              <w:t>3,59</w:t>
            </w:r>
          </w:p>
        </w:tc>
        <w:tc>
          <w:tcPr>
            <w:tcW w:w="850" w:type="dxa"/>
            <w:vAlign w:val="center"/>
          </w:tcPr>
          <w:p w14:paraId="3C3B3907" w14:textId="40960CD1" w:rsidR="00A0184B" w:rsidRPr="2E398A06" w:rsidRDefault="001A0C05" w:rsidP="00A0184B">
            <w:pPr>
              <w:jc w:val="right"/>
              <w:rPr>
                <w:rFonts w:ascii="Arial Narrow" w:eastAsia="Arial Narrow" w:hAnsi="Arial Narrow" w:cs="Arial Narrow"/>
                <w:color w:val="000000" w:themeColor="accent4"/>
                <w:sz w:val="18"/>
                <w:szCs w:val="18"/>
              </w:rPr>
            </w:pPr>
            <w:r w:rsidRPr="1007C3B6">
              <w:rPr>
                <w:rFonts w:ascii="Arial Narrow" w:eastAsia="Arial Narrow" w:hAnsi="Arial Narrow" w:cs="Arial Narrow"/>
                <w:sz w:val="18"/>
                <w:szCs w:val="18"/>
              </w:rPr>
              <w:t xml:space="preserve">≥ </w:t>
            </w:r>
            <w:r w:rsidR="00A0184B" w:rsidRPr="1E24625B">
              <w:rPr>
                <w:rFonts w:ascii="Arial Narrow" w:eastAsia="Arial Narrow" w:hAnsi="Arial Narrow" w:cs="Arial Narrow"/>
                <w:sz w:val="18"/>
                <w:szCs w:val="18"/>
              </w:rPr>
              <w:t>3,60</w:t>
            </w:r>
          </w:p>
        </w:tc>
        <w:tc>
          <w:tcPr>
            <w:tcW w:w="851" w:type="dxa"/>
            <w:vAlign w:val="center"/>
          </w:tcPr>
          <w:p w14:paraId="47079A09" w14:textId="13C17F80"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3,66</w:t>
            </w:r>
          </w:p>
        </w:tc>
        <w:tc>
          <w:tcPr>
            <w:tcW w:w="850" w:type="dxa"/>
            <w:vAlign w:val="center"/>
          </w:tcPr>
          <w:p w14:paraId="09AD299C" w14:textId="01451085"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3,6</w:t>
            </w:r>
          </w:p>
        </w:tc>
        <w:tc>
          <w:tcPr>
            <w:tcW w:w="851" w:type="dxa"/>
            <w:vAlign w:val="center"/>
          </w:tcPr>
          <w:p w14:paraId="5321ED15" w14:textId="51976893"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3,6</w:t>
            </w:r>
          </w:p>
        </w:tc>
        <w:tc>
          <w:tcPr>
            <w:tcW w:w="850" w:type="dxa"/>
            <w:vAlign w:val="center"/>
          </w:tcPr>
          <w:p w14:paraId="57912D4C" w14:textId="3893BA54"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3,6</w:t>
            </w:r>
          </w:p>
        </w:tc>
        <w:tc>
          <w:tcPr>
            <w:tcW w:w="851" w:type="dxa"/>
            <w:vAlign w:val="center"/>
          </w:tcPr>
          <w:p w14:paraId="7783A14F" w14:textId="165FEF2D"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3,6</w:t>
            </w:r>
          </w:p>
        </w:tc>
      </w:tr>
      <w:tr w:rsidR="00A0184B" w14:paraId="4C5FC2F2" w14:textId="77777777" w:rsidTr="0054533F">
        <w:trPr>
          <w:trHeight w:val="285"/>
        </w:trPr>
        <w:tc>
          <w:tcPr>
            <w:tcW w:w="3686" w:type="dxa"/>
            <w:vAlign w:val="center"/>
          </w:tcPr>
          <w:p w14:paraId="1F2578B2" w14:textId="25E41B43" w:rsidR="00A0184B" w:rsidRPr="2E398A06" w:rsidRDefault="00A0184B" w:rsidP="00A0184B">
            <w:pPr>
              <w:jc w:val="lef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xml:space="preserve">Yhdenvertaisuuden toteutuminen työyhteisössä </w:t>
            </w:r>
            <w:r w:rsidR="00FF5BAE" w:rsidRPr="1E24625B">
              <w:rPr>
                <w:rFonts w:ascii="Arial Narrow" w:eastAsia="Arial Narrow" w:hAnsi="Arial Narrow" w:cs="Arial Narrow"/>
                <w:sz w:val="18"/>
                <w:szCs w:val="18"/>
              </w:rPr>
              <w:t>(VMBaro</w:t>
            </w:r>
            <w:r w:rsidR="00FF5BAE">
              <w:rPr>
                <w:rFonts w:ascii="Arial Narrow" w:eastAsia="Arial Narrow" w:hAnsi="Arial Narrow" w:cs="Arial Narrow"/>
                <w:sz w:val="18"/>
                <w:szCs w:val="18"/>
              </w:rPr>
              <w:t xml:space="preserve">, asteikko </w:t>
            </w:r>
            <w:proofErr w:type="gramStart"/>
            <w:r w:rsidR="00FF5BAE">
              <w:rPr>
                <w:rFonts w:ascii="Arial Narrow" w:eastAsia="Arial Narrow" w:hAnsi="Arial Narrow" w:cs="Arial Narrow"/>
                <w:sz w:val="18"/>
                <w:szCs w:val="18"/>
              </w:rPr>
              <w:t>1-5</w:t>
            </w:r>
            <w:proofErr w:type="gramEnd"/>
            <w:r w:rsidR="00FF5BAE" w:rsidRPr="1E24625B">
              <w:rPr>
                <w:rFonts w:ascii="Arial Narrow" w:eastAsia="Arial Narrow" w:hAnsi="Arial Narrow" w:cs="Arial Narrow"/>
                <w:sz w:val="18"/>
                <w:szCs w:val="18"/>
              </w:rPr>
              <w:t>)</w:t>
            </w:r>
          </w:p>
        </w:tc>
        <w:tc>
          <w:tcPr>
            <w:tcW w:w="850" w:type="dxa"/>
            <w:vAlign w:val="center"/>
          </w:tcPr>
          <w:p w14:paraId="7B940673" w14:textId="0B6EB151" w:rsidR="00A0184B" w:rsidRPr="2E398A06" w:rsidRDefault="00A0184B" w:rsidP="00A0184B">
            <w:pPr>
              <w:jc w:val="right"/>
              <w:rPr>
                <w:rFonts w:ascii="Arial Narrow" w:eastAsia="Arial Narrow" w:hAnsi="Arial Narrow" w:cs="Arial Narrow"/>
                <w:sz w:val="18"/>
                <w:szCs w:val="18"/>
              </w:rPr>
            </w:pPr>
            <w:r w:rsidRPr="1E24625B">
              <w:rPr>
                <w:rFonts w:ascii="Arial Narrow" w:eastAsia="Arial Narrow" w:hAnsi="Arial Narrow" w:cs="Arial Narrow"/>
                <w:sz w:val="18"/>
                <w:szCs w:val="18"/>
              </w:rPr>
              <w:t>4,05</w:t>
            </w:r>
          </w:p>
        </w:tc>
        <w:tc>
          <w:tcPr>
            <w:tcW w:w="850" w:type="dxa"/>
            <w:vAlign w:val="center"/>
          </w:tcPr>
          <w:p w14:paraId="78C8560C" w14:textId="5776800C" w:rsidR="00A0184B" w:rsidRPr="2E398A06" w:rsidRDefault="001A0C05" w:rsidP="00A0184B">
            <w:pPr>
              <w:jc w:val="right"/>
              <w:rPr>
                <w:rFonts w:ascii="Arial Narrow" w:eastAsia="Arial Narrow" w:hAnsi="Arial Narrow" w:cs="Arial Narrow"/>
                <w:color w:val="000000" w:themeColor="accent4"/>
                <w:sz w:val="18"/>
                <w:szCs w:val="18"/>
              </w:rPr>
            </w:pPr>
            <w:r w:rsidRPr="1007C3B6">
              <w:rPr>
                <w:rFonts w:ascii="Arial Narrow" w:eastAsia="Arial Narrow" w:hAnsi="Arial Narrow" w:cs="Arial Narrow"/>
                <w:sz w:val="18"/>
                <w:szCs w:val="18"/>
              </w:rPr>
              <w:t xml:space="preserve">≥ </w:t>
            </w:r>
            <w:r w:rsidR="00A0184B" w:rsidRPr="1E24625B">
              <w:rPr>
                <w:rFonts w:ascii="Arial Narrow" w:eastAsia="Arial Narrow" w:hAnsi="Arial Narrow" w:cs="Arial Narrow"/>
                <w:sz w:val="18"/>
                <w:szCs w:val="18"/>
              </w:rPr>
              <w:t>4,05</w:t>
            </w:r>
          </w:p>
        </w:tc>
        <w:tc>
          <w:tcPr>
            <w:tcW w:w="851" w:type="dxa"/>
            <w:vAlign w:val="center"/>
          </w:tcPr>
          <w:p w14:paraId="3899F655" w14:textId="65B45966"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4,15</w:t>
            </w:r>
          </w:p>
        </w:tc>
        <w:tc>
          <w:tcPr>
            <w:tcW w:w="850" w:type="dxa"/>
            <w:vAlign w:val="center"/>
          </w:tcPr>
          <w:p w14:paraId="058BEAFB" w14:textId="52D67917"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4,1</w:t>
            </w:r>
          </w:p>
        </w:tc>
        <w:tc>
          <w:tcPr>
            <w:tcW w:w="851" w:type="dxa"/>
            <w:vAlign w:val="center"/>
          </w:tcPr>
          <w:p w14:paraId="63C25953" w14:textId="08F05BCC"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4,1</w:t>
            </w:r>
          </w:p>
        </w:tc>
        <w:tc>
          <w:tcPr>
            <w:tcW w:w="850" w:type="dxa"/>
            <w:vAlign w:val="center"/>
          </w:tcPr>
          <w:p w14:paraId="31E9C38F" w14:textId="07FE5EEE"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4,1</w:t>
            </w:r>
          </w:p>
        </w:tc>
        <w:tc>
          <w:tcPr>
            <w:tcW w:w="851" w:type="dxa"/>
            <w:vAlign w:val="center"/>
          </w:tcPr>
          <w:p w14:paraId="700008D5" w14:textId="448C7E51" w:rsidR="00A0184B" w:rsidRPr="2E398A06" w:rsidRDefault="00A0184B" w:rsidP="00A0184B">
            <w:pPr>
              <w:jc w:val="right"/>
              <w:rPr>
                <w:rFonts w:ascii="Arial Narrow" w:eastAsia="Arial Narrow" w:hAnsi="Arial Narrow" w:cs="Arial Narrow"/>
                <w:color w:val="000000" w:themeColor="accent4"/>
                <w:sz w:val="18"/>
                <w:szCs w:val="18"/>
              </w:rPr>
            </w:pPr>
            <w:r w:rsidRPr="1E24625B">
              <w:rPr>
                <w:rFonts w:ascii="Arial Narrow" w:eastAsia="Arial Narrow" w:hAnsi="Arial Narrow" w:cs="Arial Narrow"/>
                <w:sz w:val="18"/>
                <w:szCs w:val="18"/>
              </w:rPr>
              <w:t>≥ 4,1</w:t>
            </w:r>
          </w:p>
        </w:tc>
      </w:tr>
      <w:tr w:rsidR="00A0184B" w14:paraId="676A9DAA" w14:textId="77777777" w:rsidTr="0054533F">
        <w:trPr>
          <w:trHeight w:val="285"/>
        </w:trPr>
        <w:tc>
          <w:tcPr>
            <w:tcW w:w="3686" w:type="dxa"/>
            <w:vAlign w:val="center"/>
          </w:tcPr>
          <w:p w14:paraId="3A86F9F5" w14:textId="09461DB7" w:rsidR="00A0184B" w:rsidRPr="2E398A06" w:rsidRDefault="00A0184B" w:rsidP="00A0184B">
            <w:pPr>
              <w:jc w:val="lef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xml:space="preserve">Strateginen henkilöstösuunnittelu </w:t>
            </w:r>
            <w:r>
              <w:rPr>
                <w:rFonts w:ascii="Arial Narrow" w:eastAsia="Arial Narrow" w:hAnsi="Arial Narrow" w:cs="Arial Narrow"/>
                <w:sz w:val="18"/>
                <w:szCs w:val="18"/>
              </w:rPr>
              <w:t xml:space="preserve">(itsearviointi </w:t>
            </w:r>
            <w:proofErr w:type="gramStart"/>
            <w:r>
              <w:rPr>
                <w:rFonts w:ascii="Arial Narrow" w:eastAsia="Arial Narrow" w:hAnsi="Arial Narrow" w:cs="Arial Narrow"/>
                <w:sz w:val="18"/>
                <w:szCs w:val="18"/>
              </w:rPr>
              <w:t>1-5</w:t>
            </w:r>
            <w:proofErr w:type="gramEnd"/>
            <w:r>
              <w:rPr>
                <w:rFonts w:ascii="Arial Narrow" w:eastAsia="Arial Narrow" w:hAnsi="Arial Narrow" w:cs="Arial Narrow"/>
                <w:sz w:val="18"/>
                <w:szCs w:val="18"/>
              </w:rPr>
              <w:t>)</w:t>
            </w:r>
          </w:p>
        </w:tc>
        <w:tc>
          <w:tcPr>
            <w:tcW w:w="850" w:type="dxa"/>
            <w:vAlign w:val="center"/>
          </w:tcPr>
          <w:p w14:paraId="67300E15" w14:textId="417FADA1" w:rsidR="00A0184B" w:rsidRPr="2E398A06" w:rsidRDefault="00A0184B" w:rsidP="00A0184B">
            <w:pPr>
              <w:jc w:val="right"/>
              <w:rPr>
                <w:rFonts w:ascii="Arial Narrow" w:eastAsia="Arial Narrow" w:hAnsi="Arial Narrow" w:cs="Arial Narrow"/>
                <w:sz w:val="18"/>
                <w:szCs w:val="18"/>
              </w:rPr>
            </w:pPr>
            <w:r w:rsidRPr="4F03C76E">
              <w:rPr>
                <w:rFonts w:ascii="Arial Narrow" w:eastAsia="Arial Narrow" w:hAnsi="Arial Narrow" w:cs="Arial Narrow"/>
                <w:sz w:val="18"/>
                <w:szCs w:val="18"/>
              </w:rPr>
              <w:t>3</w:t>
            </w:r>
          </w:p>
        </w:tc>
        <w:tc>
          <w:tcPr>
            <w:tcW w:w="850" w:type="dxa"/>
            <w:vAlign w:val="center"/>
          </w:tcPr>
          <w:p w14:paraId="399932EA" w14:textId="5A34CDA2"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5</w:t>
            </w:r>
          </w:p>
        </w:tc>
        <w:tc>
          <w:tcPr>
            <w:tcW w:w="851" w:type="dxa"/>
            <w:vAlign w:val="center"/>
          </w:tcPr>
          <w:p w14:paraId="45431B71" w14:textId="36C19904"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4</w:t>
            </w:r>
          </w:p>
        </w:tc>
        <w:tc>
          <w:tcPr>
            <w:tcW w:w="850" w:type="dxa"/>
            <w:vAlign w:val="center"/>
          </w:tcPr>
          <w:p w14:paraId="3A808F20" w14:textId="3C180E23"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4,5</w:t>
            </w:r>
          </w:p>
        </w:tc>
        <w:tc>
          <w:tcPr>
            <w:tcW w:w="851" w:type="dxa"/>
            <w:vAlign w:val="center"/>
          </w:tcPr>
          <w:p w14:paraId="70FF86A1" w14:textId="01E32CD6"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5</w:t>
            </w:r>
          </w:p>
        </w:tc>
        <w:tc>
          <w:tcPr>
            <w:tcW w:w="850" w:type="dxa"/>
            <w:vAlign w:val="center"/>
          </w:tcPr>
          <w:p w14:paraId="15DCBDAF" w14:textId="033BB23C"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5</w:t>
            </w:r>
          </w:p>
        </w:tc>
        <w:tc>
          <w:tcPr>
            <w:tcW w:w="851" w:type="dxa"/>
            <w:vAlign w:val="center"/>
          </w:tcPr>
          <w:p w14:paraId="5065AB54" w14:textId="24316CE3"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5</w:t>
            </w:r>
          </w:p>
        </w:tc>
      </w:tr>
      <w:tr w:rsidR="00A0184B" w14:paraId="693C33DE" w14:textId="77777777" w:rsidTr="0054533F">
        <w:trPr>
          <w:trHeight w:val="285"/>
        </w:trPr>
        <w:tc>
          <w:tcPr>
            <w:tcW w:w="3686" w:type="dxa"/>
            <w:vAlign w:val="center"/>
          </w:tcPr>
          <w:p w14:paraId="53BA7AD9" w14:textId="233994EC" w:rsidR="00A0184B" w:rsidRPr="2E398A06" w:rsidRDefault="00A0184B" w:rsidP="00A0184B">
            <w:pPr>
              <w:jc w:val="lef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xml:space="preserve">Kokemus oppimisesta ja uudistumisesta </w:t>
            </w:r>
            <w:r w:rsidR="00FF5BAE" w:rsidRPr="1E24625B">
              <w:rPr>
                <w:rFonts w:ascii="Arial Narrow" w:eastAsia="Arial Narrow" w:hAnsi="Arial Narrow" w:cs="Arial Narrow"/>
                <w:sz w:val="18"/>
                <w:szCs w:val="18"/>
              </w:rPr>
              <w:t>(VMBaro</w:t>
            </w:r>
            <w:r w:rsidR="00FF5BAE">
              <w:rPr>
                <w:rFonts w:ascii="Arial Narrow" w:eastAsia="Arial Narrow" w:hAnsi="Arial Narrow" w:cs="Arial Narrow"/>
                <w:sz w:val="18"/>
                <w:szCs w:val="18"/>
              </w:rPr>
              <w:t xml:space="preserve">, asteikko </w:t>
            </w:r>
            <w:proofErr w:type="gramStart"/>
            <w:r w:rsidR="00FF5BAE">
              <w:rPr>
                <w:rFonts w:ascii="Arial Narrow" w:eastAsia="Arial Narrow" w:hAnsi="Arial Narrow" w:cs="Arial Narrow"/>
                <w:sz w:val="18"/>
                <w:szCs w:val="18"/>
              </w:rPr>
              <w:t>1-5</w:t>
            </w:r>
            <w:proofErr w:type="gramEnd"/>
            <w:r w:rsidR="00FF5BAE" w:rsidRPr="1E24625B">
              <w:rPr>
                <w:rFonts w:ascii="Arial Narrow" w:eastAsia="Arial Narrow" w:hAnsi="Arial Narrow" w:cs="Arial Narrow"/>
                <w:sz w:val="18"/>
                <w:szCs w:val="18"/>
              </w:rPr>
              <w:t>)</w:t>
            </w:r>
          </w:p>
        </w:tc>
        <w:tc>
          <w:tcPr>
            <w:tcW w:w="850" w:type="dxa"/>
            <w:vAlign w:val="center"/>
          </w:tcPr>
          <w:p w14:paraId="3407C31B" w14:textId="6647636E" w:rsidR="00A0184B" w:rsidRPr="2E398A06" w:rsidRDefault="00A0184B" w:rsidP="00A0184B">
            <w:pPr>
              <w:jc w:val="right"/>
              <w:rPr>
                <w:rFonts w:ascii="Arial Narrow" w:eastAsia="Arial Narrow" w:hAnsi="Arial Narrow" w:cs="Arial Narrow"/>
                <w:sz w:val="18"/>
                <w:szCs w:val="18"/>
              </w:rPr>
            </w:pPr>
            <w:r w:rsidRPr="4F03C76E">
              <w:rPr>
                <w:rFonts w:ascii="Arial Narrow" w:eastAsia="Arial Narrow" w:hAnsi="Arial Narrow" w:cs="Arial Narrow"/>
                <w:sz w:val="18"/>
                <w:szCs w:val="18"/>
              </w:rPr>
              <w:t>4,01</w:t>
            </w:r>
          </w:p>
        </w:tc>
        <w:tc>
          <w:tcPr>
            <w:tcW w:w="850" w:type="dxa"/>
            <w:vAlign w:val="center"/>
          </w:tcPr>
          <w:p w14:paraId="28D4A858" w14:textId="781B2931" w:rsidR="00A0184B" w:rsidRPr="2E398A06" w:rsidRDefault="001A0C05" w:rsidP="00A0184B">
            <w:pPr>
              <w:jc w:val="right"/>
              <w:rPr>
                <w:rFonts w:ascii="Arial Narrow" w:eastAsia="Arial Narrow" w:hAnsi="Arial Narrow" w:cs="Arial Narrow"/>
                <w:color w:val="000000" w:themeColor="accent4"/>
                <w:sz w:val="18"/>
                <w:szCs w:val="18"/>
              </w:rPr>
            </w:pPr>
            <w:r w:rsidRPr="1007C3B6">
              <w:rPr>
                <w:rFonts w:ascii="Arial Narrow" w:eastAsia="Arial Narrow" w:hAnsi="Arial Narrow" w:cs="Arial Narrow"/>
                <w:sz w:val="18"/>
                <w:szCs w:val="18"/>
              </w:rPr>
              <w:t xml:space="preserve">≥ </w:t>
            </w:r>
            <w:r w:rsidR="00A0184B" w:rsidRPr="4F03C76E">
              <w:rPr>
                <w:rFonts w:ascii="Arial Narrow" w:eastAsia="Arial Narrow" w:hAnsi="Arial Narrow" w:cs="Arial Narrow"/>
                <w:sz w:val="18"/>
                <w:szCs w:val="18"/>
              </w:rPr>
              <w:t>4,05</w:t>
            </w:r>
          </w:p>
        </w:tc>
        <w:tc>
          <w:tcPr>
            <w:tcW w:w="851" w:type="dxa"/>
            <w:vAlign w:val="center"/>
          </w:tcPr>
          <w:p w14:paraId="014B0107" w14:textId="3160E5F2"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4,04</w:t>
            </w:r>
          </w:p>
        </w:tc>
        <w:tc>
          <w:tcPr>
            <w:tcW w:w="850" w:type="dxa"/>
            <w:vAlign w:val="center"/>
          </w:tcPr>
          <w:p w14:paraId="357320D7" w14:textId="6D62319B"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4,0</w:t>
            </w:r>
          </w:p>
        </w:tc>
        <w:tc>
          <w:tcPr>
            <w:tcW w:w="851" w:type="dxa"/>
            <w:vAlign w:val="center"/>
          </w:tcPr>
          <w:p w14:paraId="1CBFB3E5" w14:textId="6B15E617"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4,0</w:t>
            </w:r>
          </w:p>
        </w:tc>
        <w:tc>
          <w:tcPr>
            <w:tcW w:w="850" w:type="dxa"/>
            <w:vAlign w:val="center"/>
          </w:tcPr>
          <w:p w14:paraId="01652AB1" w14:textId="4228F804"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4,0</w:t>
            </w:r>
          </w:p>
        </w:tc>
        <w:tc>
          <w:tcPr>
            <w:tcW w:w="851" w:type="dxa"/>
            <w:vAlign w:val="center"/>
          </w:tcPr>
          <w:p w14:paraId="21237B41" w14:textId="38BF8E71"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4,0</w:t>
            </w:r>
          </w:p>
        </w:tc>
      </w:tr>
      <w:tr w:rsidR="00A0184B" w14:paraId="7537F669" w14:textId="77777777" w:rsidTr="0054533F">
        <w:trPr>
          <w:trHeight w:val="285"/>
        </w:trPr>
        <w:tc>
          <w:tcPr>
            <w:tcW w:w="3686" w:type="dxa"/>
            <w:vAlign w:val="center"/>
          </w:tcPr>
          <w:p w14:paraId="3C4825B8" w14:textId="6FEBC294" w:rsidR="00A0184B" w:rsidRPr="2E398A06" w:rsidRDefault="00A0184B" w:rsidP="00A0184B">
            <w:pPr>
              <w:jc w:val="lef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xml:space="preserve">Työnantajakuva ja arvot </w:t>
            </w:r>
            <w:r w:rsidR="00FF5BAE" w:rsidRPr="1E24625B">
              <w:rPr>
                <w:rFonts w:ascii="Arial Narrow" w:eastAsia="Arial Narrow" w:hAnsi="Arial Narrow" w:cs="Arial Narrow"/>
                <w:sz w:val="18"/>
                <w:szCs w:val="18"/>
              </w:rPr>
              <w:t>(VMBaro</w:t>
            </w:r>
            <w:r w:rsidR="00FF5BAE">
              <w:rPr>
                <w:rFonts w:ascii="Arial Narrow" w:eastAsia="Arial Narrow" w:hAnsi="Arial Narrow" w:cs="Arial Narrow"/>
                <w:sz w:val="18"/>
                <w:szCs w:val="18"/>
              </w:rPr>
              <w:t xml:space="preserve">, asteikko </w:t>
            </w:r>
            <w:proofErr w:type="gramStart"/>
            <w:r w:rsidR="00FF5BAE">
              <w:rPr>
                <w:rFonts w:ascii="Arial Narrow" w:eastAsia="Arial Narrow" w:hAnsi="Arial Narrow" w:cs="Arial Narrow"/>
                <w:sz w:val="18"/>
                <w:szCs w:val="18"/>
              </w:rPr>
              <w:t>1-5</w:t>
            </w:r>
            <w:proofErr w:type="gramEnd"/>
            <w:r w:rsidRPr="4F03C76E">
              <w:rPr>
                <w:rFonts w:ascii="Arial Narrow" w:eastAsia="Arial Narrow" w:hAnsi="Arial Narrow" w:cs="Arial Narrow"/>
                <w:sz w:val="18"/>
                <w:szCs w:val="18"/>
              </w:rPr>
              <w:t>)</w:t>
            </w:r>
          </w:p>
        </w:tc>
        <w:tc>
          <w:tcPr>
            <w:tcW w:w="850" w:type="dxa"/>
            <w:vAlign w:val="center"/>
          </w:tcPr>
          <w:p w14:paraId="36DBCB67" w14:textId="4991A92B" w:rsidR="00A0184B" w:rsidRPr="2E398A06" w:rsidRDefault="00A0184B" w:rsidP="00A0184B">
            <w:pPr>
              <w:jc w:val="right"/>
              <w:rPr>
                <w:rFonts w:ascii="Arial Narrow" w:eastAsia="Arial Narrow" w:hAnsi="Arial Narrow" w:cs="Arial Narrow"/>
                <w:sz w:val="18"/>
                <w:szCs w:val="18"/>
              </w:rPr>
            </w:pPr>
            <w:r w:rsidRPr="4F03C76E">
              <w:rPr>
                <w:rFonts w:ascii="Arial Narrow" w:eastAsia="Arial Narrow" w:hAnsi="Arial Narrow" w:cs="Arial Narrow"/>
                <w:sz w:val="18"/>
                <w:szCs w:val="18"/>
              </w:rPr>
              <w:t>4,03</w:t>
            </w:r>
          </w:p>
        </w:tc>
        <w:tc>
          <w:tcPr>
            <w:tcW w:w="850" w:type="dxa"/>
            <w:vAlign w:val="center"/>
          </w:tcPr>
          <w:p w14:paraId="2916F3CE" w14:textId="45083F07" w:rsidR="00A0184B" w:rsidRPr="2E398A06" w:rsidRDefault="001A0C05" w:rsidP="00A0184B">
            <w:pPr>
              <w:jc w:val="right"/>
              <w:rPr>
                <w:rFonts w:ascii="Arial Narrow" w:eastAsia="Arial Narrow" w:hAnsi="Arial Narrow" w:cs="Arial Narrow"/>
                <w:color w:val="000000" w:themeColor="accent4"/>
                <w:sz w:val="18"/>
                <w:szCs w:val="18"/>
              </w:rPr>
            </w:pPr>
            <w:r w:rsidRPr="1007C3B6">
              <w:rPr>
                <w:rFonts w:ascii="Arial Narrow" w:eastAsia="Arial Narrow" w:hAnsi="Arial Narrow" w:cs="Arial Narrow"/>
                <w:sz w:val="18"/>
                <w:szCs w:val="18"/>
              </w:rPr>
              <w:t xml:space="preserve">≥ </w:t>
            </w:r>
            <w:r w:rsidR="00A0184B" w:rsidRPr="4F03C76E">
              <w:rPr>
                <w:rFonts w:ascii="Arial Narrow" w:eastAsia="Arial Narrow" w:hAnsi="Arial Narrow" w:cs="Arial Narrow"/>
                <w:sz w:val="18"/>
                <w:szCs w:val="18"/>
              </w:rPr>
              <w:t>4,00</w:t>
            </w:r>
          </w:p>
        </w:tc>
        <w:tc>
          <w:tcPr>
            <w:tcW w:w="851" w:type="dxa"/>
            <w:vAlign w:val="center"/>
          </w:tcPr>
          <w:p w14:paraId="7093E0F4" w14:textId="3303896D"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4,08</w:t>
            </w:r>
          </w:p>
        </w:tc>
        <w:tc>
          <w:tcPr>
            <w:tcW w:w="850" w:type="dxa"/>
            <w:vAlign w:val="center"/>
          </w:tcPr>
          <w:p w14:paraId="7429D68A" w14:textId="29BBF796"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4,0</w:t>
            </w:r>
          </w:p>
        </w:tc>
        <w:tc>
          <w:tcPr>
            <w:tcW w:w="851" w:type="dxa"/>
            <w:vAlign w:val="center"/>
          </w:tcPr>
          <w:p w14:paraId="04186D8A" w14:textId="2B15F8EE"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4,0</w:t>
            </w:r>
          </w:p>
        </w:tc>
        <w:tc>
          <w:tcPr>
            <w:tcW w:w="850" w:type="dxa"/>
            <w:vAlign w:val="center"/>
          </w:tcPr>
          <w:p w14:paraId="382EEEEC" w14:textId="04FB8839"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4,0</w:t>
            </w:r>
          </w:p>
        </w:tc>
        <w:tc>
          <w:tcPr>
            <w:tcW w:w="851" w:type="dxa"/>
            <w:vAlign w:val="center"/>
          </w:tcPr>
          <w:p w14:paraId="7B909884" w14:textId="40A5AA4E" w:rsidR="00A0184B" w:rsidRPr="2E398A06" w:rsidRDefault="00A0184B" w:rsidP="00A0184B">
            <w:pPr>
              <w:jc w:val="right"/>
              <w:rPr>
                <w:rFonts w:ascii="Arial Narrow" w:eastAsia="Arial Narrow" w:hAnsi="Arial Narrow" w:cs="Arial Narrow"/>
                <w:color w:val="000000" w:themeColor="accent4"/>
                <w:sz w:val="18"/>
                <w:szCs w:val="18"/>
              </w:rPr>
            </w:pPr>
            <w:r w:rsidRPr="4F03C76E">
              <w:rPr>
                <w:rFonts w:ascii="Arial Narrow" w:eastAsia="Arial Narrow" w:hAnsi="Arial Narrow" w:cs="Arial Narrow"/>
                <w:sz w:val="18"/>
                <w:szCs w:val="18"/>
              </w:rPr>
              <w:t>≥ 4,0</w:t>
            </w:r>
          </w:p>
        </w:tc>
      </w:tr>
    </w:tbl>
    <w:p w14:paraId="334DEF7B" w14:textId="77777777" w:rsidR="00F151E5" w:rsidRDefault="00F151E5" w:rsidP="000F0D4C">
      <w:pPr>
        <w:rPr>
          <w:rStyle w:val="eop"/>
          <w:rFonts w:eastAsiaTheme="majorEastAsia" w:cs="Arial"/>
        </w:rPr>
      </w:pPr>
    </w:p>
    <w:p w14:paraId="09DA61FE" w14:textId="6A7BEF46" w:rsidR="00852B9A" w:rsidRDefault="00852B9A" w:rsidP="00852B9A">
      <w:pPr>
        <w:pStyle w:val="Otsikko1"/>
      </w:pPr>
      <w:bookmarkStart w:id="8" w:name="_Toc116560488"/>
      <w:r>
        <w:lastRenderedPageBreak/>
        <w:t xml:space="preserve">Kehittäminen </w:t>
      </w:r>
      <w:r w:rsidR="00E571CB">
        <w:t>suunnittelukaudella 2023-2027</w:t>
      </w:r>
      <w:bookmarkEnd w:id="8"/>
    </w:p>
    <w:p w14:paraId="2E6287AC" w14:textId="7217FB6B" w:rsidR="009D3D16" w:rsidRDefault="00683862" w:rsidP="00683862">
      <w:r>
        <w:t xml:space="preserve">Vuosina </w:t>
      </w:r>
      <w:r w:rsidR="00985ACB">
        <w:t>2023–2027</w:t>
      </w:r>
      <w:r w:rsidRPr="00320BC0">
        <w:t xml:space="preserve"> Verohallin</w:t>
      </w:r>
      <w:r>
        <w:t>non kehityssuunnitelman rungon muodostavat mittava joukko lainsäädäntöhankkeita, sekä pakolliset teknologiahankkeet, kuten GenTax-tietojärjestelmän versiopäivitys ja pilvipalveluiden käyttöönotot. Strategisen kehittämisen osalta suunnittelukauden painopisteitä ovat</w:t>
      </w:r>
      <w:r w:rsidR="003C18CF">
        <w:t xml:space="preserve"> </w:t>
      </w:r>
      <w:r w:rsidR="003C18CF" w:rsidRPr="00657A78">
        <w:t xml:space="preserve">verotusprosessien </w:t>
      </w:r>
      <w:r w:rsidR="00657A78" w:rsidRPr="00657A78">
        <w:t>virtaviivaistamise</w:t>
      </w:r>
      <w:r w:rsidR="003C18CF" w:rsidRPr="00657A78">
        <w:t>n</w:t>
      </w:r>
      <w:r w:rsidRPr="00657A78">
        <w:t xml:space="preserve"> </w:t>
      </w:r>
      <w:r>
        <w:t xml:space="preserve">lisäksi digitalisaatiota ja läpinäkyvyyttä edistävät hankkeet, ennakkoperinnän uudistaminen sekä yrittäjän elämän helpottaminen. Asiakasratkaisujen ja -palveluiden kehittämistä jatketaan asiakasryhmäkohtaisten tavoitetilojen pohjalta. Muita strategisia tavoitteita edistetään käytettävissä olevien resurssien puitteissa. </w:t>
      </w:r>
    </w:p>
    <w:p w14:paraId="11AF9174" w14:textId="77777777" w:rsidR="009D3D16" w:rsidRDefault="009D3D16" w:rsidP="00683862"/>
    <w:p w14:paraId="67886212" w14:textId="14FB8F27" w:rsidR="00683862" w:rsidRDefault="00683862" w:rsidP="00683862">
      <w:r>
        <w:t xml:space="preserve">Kehityssuunnitelman pohjana on viime vuonna laadittu Toiminta- ja taloussuunnitelma </w:t>
      </w:r>
      <w:r w:rsidR="00985ACB">
        <w:t>2022–2027</w:t>
      </w:r>
      <w:r>
        <w:t>.</w:t>
      </w:r>
    </w:p>
    <w:p w14:paraId="76273D01" w14:textId="77777777" w:rsidR="00683862" w:rsidRDefault="00683862" w:rsidP="00683862">
      <w:pPr>
        <w:ind w:left="170" w:hanging="170"/>
      </w:pPr>
    </w:p>
    <w:p w14:paraId="5A5C41DA" w14:textId="3746A81D" w:rsidR="00683862" w:rsidRDefault="00683862" w:rsidP="00683862">
      <w:r>
        <w:t xml:space="preserve">Hallituksen vaihtumisen jälkeen ja hallitusohjelman valmistuttua vuonna 2023 tässä luvussa kuvattuihin kehittämistoimenpiteisiin ja suunniteltuihin aikatauluihin </w:t>
      </w:r>
      <w:r w:rsidR="003E78D0">
        <w:t>t</w:t>
      </w:r>
      <w:r w:rsidR="00A05732">
        <w:t>ullee</w:t>
      </w:r>
      <w:r>
        <w:t xml:space="preserve"> muutoksia. Osa kehittämistoimenpiteistä vaatii myös poliittista päätöksentekoa, minkä vuoksi niiden toteutuminen ja ajoittuminen ei ole vielä varmaa.</w:t>
      </w:r>
    </w:p>
    <w:p w14:paraId="20573704" w14:textId="77777777" w:rsidR="00683862" w:rsidRDefault="00683862" w:rsidP="00683862"/>
    <w:p w14:paraId="1676E4EB" w14:textId="0B90CD66" w:rsidR="00F2777C" w:rsidRPr="00F2777C" w:rsidRDefault="00F2777C" w:rsidP="00F2777C">
      <w:r w:rsidRPr="00F2777C">
        <w:t xml:space="preserve">Seuraavalla suunnittelukaudella käynnistettäneen myös uusi Harmaan talouden torjuntaohjelma </w:t>
      </w:r>
      <w:r w:rsidR="00985ACB" w:rsidRPr="00F2777C">
        <w:t>2024–2027</w:t>
      </w:r>
      <w:r w:rsidRPr="00F2777C">
        <w:t xml:space="preserve">, jonka etenemisestä seurataan viranomaisten yhteisellä </w:t>
      </w:r>
      <w:hyperlink r:id="rId11" w:history="1">
        <w:r w:rsidRPr="00F2777C">
          <w:rPr>
            <w:rStyle w:val="Hyperlinkki"/>
          </w:rPr>
          <w:t>harmaan talouden verkkosivuilla.</w:t>
        </w:r>
      </w:hyperlink>
    </w:p>
    <w:p w14:paraId="1F5AA68E" w14:textId="77777777" w:rsidR="00683862" w:rsidRDefault="00683862" w:rsidP="00683862">
      <w:pPr>
        <w:pStyle w:val="Otsikko2"/>
        <w:numPr>
          <w:ilvl w:val="1"/>
          <w:numId w:val="1"/>
        </w:numPr>
      </w:pPr>
      <w:bookmarkStart w:id="9" w:name="_Toc116560489"/>
      <w:r>
        <w:t>Kehittämisen resurssien kohdentuminen</w:t>
      </w:r>
      <w:bookmarkEnd w:id="9"/>
    </w:p>
    <w:p w14:paraId="07D9841C" w14:textId="042A74A3" w:rsidR="004C1033" w:rsidRDefault="00683862" w:rsidP="00845BD4">
      <w:r>
        <w:t>Suunnittelukaudella kehittämis</w:t>
      </w:r>
      <w:r w:rsidR="005251AB">
        <w:t xml:space="preserve">resurssit kohdistuvat strategisiin </w:t>
      </w:r>
      <w:r>
        <w:t xml:space="preserve">tavoitealueisiin karkeasti jaoteltuna </w:t>
      </w:r>
      <w:r w:rsidRPr="009A1D0B">
        <w:t xml:space="preserve">taulukon </w:t>
      </w:r>
      <w:r w:rsidR="00C8060E">
        <w:t>2</w:t>
      </w:r>
      <w:r>
        <w:t xml:space="preserve"> mukaisesti</w:t>
      </w:r>
      <w:r w:rsidR="005251AB">
        <w:t>.</w:t>
      </w:r>
      <w:r w:rsidR="00C34BF6">
        <w:t xml:space="preserve"> J</w:t>
      </w:r>
      <w:r w:rsidR="004C1033">
        <w:t xml:space="preserve">aottelun pohjana ovat Verohallinnon strategisten tavoitteiden seurannassa käytetyt </w:t>
      </w:r>
      <w:r w:rsidR="007F7BA7">
        <w:t>tavoitealueet</w:t>
      </w:r>
      <w:r w:rsidR="004C1033">
        <w:t xml:space="preserve">, joiden kautta suunnitellut kehittämistoimenpiteet voidaan kytkeä luontevasti johdon asettamiin tavoitteisiin ja seurannan mittareihin. </w:t>
      </w:r>
      <w:r w:rsidR="00C53636">
        <w:t xml:space="preserve">Taulukkoon on tänä vuonna saatu mukaan </w:t>
      </w:r>
      <w:r w:rsidR="007F7BA7">
        <w:t xml:space="preserve">viimevuotista </w:t>
      </w:r>
      <w:r w:rsidR="00C53636">
        <w:t>kattavammin muutoskohteita</w:t>
      </w:r>
      <w:r w:rsidR="00CE57CA">
        <w:t xml:space="preserve">, mikä näkyy </w:t>
      </w:r>
      <w:r w:rsidR="00894E0C">
        <w:t>nii</w:t>
      </w:r>
      <w:r w:rsidR="00CE57CA">
        <w:t xml:space="preserve">den </w:t>
      </w:r>
      <w:r w:rsidR="00BF2405">
        <w:t>luku</w:t>
      </w:r>
      <w:r w:rsidR="00CE57CA">
        <w:t>määrän kasvuna.</w:t>
      </w:r>
    </w:p>
    <w:p w14:paraId="40BCABD9" w14:textId="77777777" w:rsidR="00CE57CA" w:rsidRDefault="00CE57CA" w:rsidP="00845BD4">
      <w:pPr>
        <w:rPr>
          <w:rFonts w:eastAsia="Arial" w:cs="Arial"/>
          <w:b/>
          <w:bCs/>
          <w:sz w:val="20"/>
        </w:rPr>
      </w:pPr>
    </w:p>
    <w:p w14:paraId="14E6AE8C" w14:textId="2A31D1B3" w:rsidR="00845BD4" w:rsidRPr="002A66D8" w:rsidRDefault="00845BD4" w:rsidP="000970EC">
      <w:pPr>
        <w:rPr>
          <w:rFonts w:eastAsia="Arial" w:cs="Arial"/>
          <w:sz w:val="20"/>
        </w:rPr>
      </w:pPr>
      <w:r w:rsidRPr="00845BD4">
        <w:rPr>
          <w:rFonts w:eastAsia="Arial" w:cs="Arial"/>
          <w:b/>
          <w:bCs/>
          <w:sz w:val="20"/>
        </w:rPr>
        <w:t>Taulukko 2. Kehittämis</w:t>
      </w:r>
      <w:r w:rsidRPr="00E40CB9">
        <w:rPr>
          <w:rFonts w:eastAsia="Arial" w:cs="Arial"/>
          <w:b/>
          <w:bCs/>
          <w:sz w:val="20"/>
        </w:rPr>
        <w:t xml:space="preserve">resurssien </w:t>
      </w:r>
      <w:r>
        <w:rPr>
          <w:rFonts w:eastAsia="Arial" w:cs="Arial"/>
          <w:b/>
          <w:bCs/>
          <w:sz w:val="20"/>
        </w:rPr>
        <w:t xml:space="preserve">kohdentuminen </w:t>
      </w:r>
      <w:r w:rsidR="00BD3F02">
        <w:rPr>
          <w:rFonts w:eastAsia="Arial" w:cs="Arial"/>
          <w:b/>
          <w:bCs/>
          <w:sz w:val="20"/>
        </w:rPr>
        <w:t>eri tavoitteisiin</w:t>
      </w:r>
      <w:r w:rsidR="002A66D8">
        <w:rPr>
          <w:rFonts w:eastAsia="Arial" w:cs="Arial"/>
          <w:b/>
          <w:bCs/>
          <w:sz w:val="20"/>
        </w:rPr>
        <w:t xml:space="preserve"> </w:t>
      </w:r>
      <w:r w:rsidR="002A66D8" w:rsidRPr="002A66D8">
        <w:rPr>
          <w:rFonts w:eastAsia="Arial" w:cs="Arial"/>
          <w:sz w:val="20"/>
        </w:rPr>
        <w:t>(10.10.2022 tilanteen mukainen)</w:t>
      </w:r>
    </w:p>
    <w:p w14:paraId="438113CC" w14:textId="77777777" w:rsidR="002A66D8" w:rsidRPr="002A66D8" w:rsidRDefault="002A66D8" w:rsidP="000970EC">
      <w:pPr>
        <w:rPr>
          <w:rFonts w:eastAsia="Arial" w:cs="Arial"/>
          <w:sz w:val="20"/>
        </w:rPr>
      </w:pPr>
    </w:p>
    <w:tbl>
      <w:tblPr>
        <w:tblW w:w="9062" w:type="dxa"/>
        <w:tblLayout w:type="fixed"/>
        <w:tblCellMar>
          <w:left w:w="70" w:type="dxa"/>
          <w:right w:w="70" w:type="dxa"/>
        </w:tblCellMar>
        <w:tblLook w:val="04A0" w:firstRow="1" w:lastRow="0" w:firstColumn="1" w:lastColumn="0" w:noHBand="0" w:noVBand="1"/>
      </w:tblPr>
      <w:tblGrid>
        <w:gridCol w:w="2024"/>
        <w:gridCol w:w="2042"/>
        <w:gridCol w:w="1497"/>
        <w:gridCol w:w="1515"/>
        <w:gridCol w:w="1984"/>
      </w:tblGrid>
      <w:tr w:rsidR="002A66D8" w:rsidRPr="002A66D8" w14:paraId="74683D9C" w14:textId="77777777" w:rsidTr="00A504F1">
        <w:trPr>
          <w:trHeight w:val="372"/>
          <w:tblHeader/>
        </w:trPr>
        <w:tc>
          <w:tcPr>
            <w:tcW w:w="4066" w:type="dxa"/>
            <w:gridSpan w:val="2"/>
            <w:vMerge w:val="restart"/>
            <w:tcBorders>
              <w:top w:val="single" w:sz="8" w:space="0" w:color="auto"/>
              <w:left w:val="single" w:sz="8" w:space="0" w:color="auto"/>
              <w:bottom w:val="single" w:sz="8" w:space="0" w:color="000000"/>
              <w:right w:val="single" w:sz="8" w:space="0" w:color="000000"/>
            </w:tcBorders>
            <w:shd w:val="clear" w:color="000000" w:fill="E2EFDA"/>
            <w:vAlign w:val="center"/>
            <w:hideMark/>
          </w:tcPr>
          <w:p w14:paraId="47B109DE" w14:textId="77777777" w:rsidR="002A66D8" w:rsidRPr="002A66D8" w:rsidRDefault="002A66D8" w:rsidP="002A66D8">
            <w:pPr>
              <w:overflowPunct/>
              <w:autoSpaceDE/>
              <w:autoSpaceDN/>
              <w:adjustRightInd/>
              <w:jc w:val="left"/>
              <w:textAlignment w:val="auto"/>
              <w:rPr>
                <w:rFonts w:cs="Arial"/>
                <w:color w:val="000000"/>
                <w:szCs w:val="22"/>
              </w:rPr>
            </w:pPr>
            <w:r w:rsidRPr="002A66D8">
              <w:rPr>
                <w:rFonts w:cs="Arial"/>
                <w:color w:val="000000"/>
                <w:szCs w:val="22"/>
              </w:rPr>
              <w:t>Kehittämisen tavoitealueet</w:t>
            </w:r>
          </w:p>
        </w:tc>
        <w:tc>
          <w:tcPr>
            <w:tcW w:w="1497"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6DD46CC7"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 xml:space="preserve">Muutoskohteita per tavoite / kpl </w:t>
            </w:r>
            <w:proofErr w:type="gramStart"/>
            <w:r w:rsidRPr="002A66D8">
              <w:rPr>
                <w:rFonts w:cs="Arial"/>
                <w:color w:val="000000"/>
                <w:sz w:val="20"/>
              </w:rPr>
              <w:t>2023-2027</w:t>
            </w:r>
            <w:proofErr w:type="gramEnd"/>
          </w:p>
        </w:tc>
        <w:tc>
          <w:tcPr>
            <w:tcW w:w="3499" w:type="dxa"/>
            <w:gridSpan w:val="2"/>
            <w:tcBorders>
              <w:top w:val="single" w:sz="8" w:space="0" w:color="auto"/>
              <w:left w:val="nil"/>
              <w:bottom w:val="single" w:sz="8" w:space="0" w:color="auto"/>
              <w:right w:val="single" w:sz="8" w:space="0" w:color="000000"/>
            </w:tcBorders>
            <w:shd w:val="clear" w:color="000000" w:fill="E2EFDA"/>
            <w:noWrap/>
            <w:vAlign w:val="center"/>
            <w:hideMark/>
          </w:tcPr>
          <w:p w14:paraId="095DF40D" w14:textId="55F85F6C"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Tavoitealueen osuus (</w:t>
            </w:r>
            <w:proofErr w:type="gramStart"/>
            <w:r w:rsidRPr="002A66D8">
              <w:rPr>
                <w:rFonts w:cs="Arial"/>
                <w:color w:val="000000"/>
                <w:sz w:val="20"/>
              </w:rPr>
              <w:t>%)</w:t>
            </w:r>
            <w:r w:rsidR="0087380B">
              <w:rPr>
                <w:rFonts w:cs="Arial"/>
                <w:color w:val="000000"/>
                <w:sz w:val="20"/>
              </w:rPr>
              <w:t>*</w:t>
            </w:r>
            <w:proofErr w:type="gramEnd"/>
          </w:p>
        </w:tc>
      </w:tr>
      <w:tr w:rsidR="002A66D8" w:rsidRPr="002A66D8" w14:paraId="1D8CD26C" w14:textId="77777777" w:rsidTr="00A504F1">
        <w:trPr>
          <w:trHeight w:val="552"/>
          <w:tblHeader/>
        </w:trPr>
        <w:tc>
          <w:tcPr>
            <w:tcW w:w="4066" w:type="dxa"/>
            <w:gridSpan w:val="2"/>
            <w:vMerge/>
            <w:tcBorders>
              <w:top w:val="single" w:sz="8" w:space="0" w:color="auto"/>
              <w:left w:val="single" w:sz="8" w:space="0" w:color="auto"/>
              <w:bottom w:val="single" w:sz="8" w:space="0" w:color="000000"/>
              <w:right w:val="single" w:sz="8" w:space="0" w:color="000000"/>
            </w:tcBorders>
            <w:vAlign w:val="center"/>
            <w:hideMark/>
          </w:tcPr>
          <w:p w14:paraId="5E106DED" w14:textId="77777777" w:rsidR="002A66D8" w:rsidRPr="002A66D8" w:rsidRDefault="002A66D8" w:rsidP="002A66D8">
            <w:pPr>
              <w:overflowPunct/>
              <w:autoSpaceDE/>
              <w:autoSpaceDN/>
              <w:adjustRightInd/>
              <w:jc w:val="left"/>
              <w:textAlignment w:val="auto"/>
              <w:rPr>
                <w:rFonts w:cs="Arial"/>
                <w:color w:val="000000"/>
                <w:szCs w:val="22"/>
              </w:rPr>
            </w:pPr>
          </w:p>
        </w:tc>
        <w:tc>
          <w:tcPr>
            <w:tcW w:w="1497" w:type="dxa"/>
            <w:vMerge/>
            <w:tcBorders>
              <w:top w:val="single" w:sz="8" w:space="0" w:color="auto"/>
              <w:left w:val="single" w:sz="8" w:space="0" w:color="auto"/>
              <w:bottom w:val="single" w:sz="8" w:space="0" w:color="000000"/>
              <w:right w:val="single" w:sz="8" w:space="0" w:color="auto"/>
            </w:tcBorders>
            <w:vAlign w:val="center"/>
            <w:hideMark/>
          </w:tcPr>
          <w:p w14:paraId="3755F870" w14:textId="77777777" w:rsidR="002A66D8" w:rsidRPr="002A66D8" w:rsidRDefault="002A66D8" w:rsidP="002A66D8">
            <w:pPr>
              <w:overflowPunct/>
              <w:autoSpaceDE/>
              <w:autoSpaceDN/>
              <w:adjustRightInd/>
              <w:jc w:val="left"/>
              <w:textAlignment w:val="auto"/>
              <w:rPr>
                <w:rFonts w:cs="Arial"/>
                <w:color w:val="000000"/>
                <w:sz w:val="20"/>
              </w:rPr>
            </w:pPr>
          </w:p>
        </w:tc>
        <w:tc>
          <w:tcPr>
            <w:tcW w:w="1515" w:type="dxa"/>
            <w:tcBorders>
              <w:top w:val="nil"/>
              <w:left w:val="nil"/>
              <w:bottom w:val="single" w:sz="8" w:space="0" w:color="auto"/>
              <w:right w:val="single" w:sz="8" w:space="0" w:color="auto"/>
            </w:tcBorders>
            <w:shd w:val="clear" w:color="000000" w:fill="E2EFDA"/>
            <w:hideMark/>
          </w:tcPr>
          <w:p w14:paraId="7828A445" w14:textId="094D211B"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Kehittämisen 2023</w:t>
            </w:r>
            <w:r w:rsidR="0097760A">
              <w:rPr>
                <w:rFonts w:cs="Arial"/>
                <w:color w:val="000000"/>
                <w:sz w:val="20"/>
              </w:rPr>
              <w:t xml:space="preserve"> </w:t>
            </w:r>
            <w:r w:rsidRPr="002A66D8">
              <w:rPr>
                <w:rFonts w:cs="Arial"/>
                <w:color w:val="000000"/>
                <w:sz w:val="20"/>
              </w:rPr>
              <w:t xml:space="preserve">budjetista </w:t>
            </w:r>
          </w:p>
        </w:tc>
        <w:tc>
          <w:tcPr>
            <w:tcW w:w="1984" w:type="dxa"/>
            <w:tcBorders>
              <w:top w:val="nil"/>
              <w:left w:val="nil"/>
              <w:bottom w:val="single" w:sz="8" w:space="0" w:color="auto"/>
              <w:right w:val="single" w:sz="8" w:space="0" w:color="auto"/>
            </w:tcBorders>
            <w:shd w:val="clear" w:color="000000" w:fill="E2EFDA"/>
            <w:hideMark/>
          </w:tcPr>
          <w:p w14:paraId="4A32E520"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Kehittämisen 2023 henkilöresursseista</w:t>
            </w:r>
          </w:p>
        </w:tc>
      </w:tr>
      <w:tr w:rsidR="002A66D8" w:rsidRPr="002A66D8" w14:paraId="46472187" w14:textId="77777777" w:rsidTr="0097760A">
        <w:trPr>
          <w:trHeight w:val="516"/>
        </w:trPr>
        <w:tc>
          <w:tcPr>
            <w:tcW w:w="2024" w:type="dxa"/>
            <w:vMerge w:val="restart"/>
            <w:tcBorders>
              <w:top w:val="nil"/>
              <w:left w:val="single" w:sz="8" w:space="0" w:color="auto"/>
              <w:bottom w:val="nil"/>
              <w:right w:val="nil"/>
            </w:tcBorders>
            <w:shd w:val="clear" w:color="auto" w:fill="auto"/>
            <w:vAlign w:val="center"/>
            <w:hideMark/>
          </w:tcPr>
          <w:p w14:paraId="3E712BE3"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 xml:space="preserve">Asiakaskokemus ja veromyönteisyys </w:t>
            </w:r>
          </w:p>
        </w:tc>
        <w:tc>
          <w:tcPr>
            <w:tcW w:w="2042" w:type="dxa"/>
            <w:tcBorders>
              <w:top w:val="nil"/>
              <w:left w:val="single" w:sz="8" w:space="0" w:color="auto"/>
              <w:bottom w:val="nil"/>
              <w:right w:val="single" w:sz="8" w:space="0" w:color="auto"/>
            </w:tcBorders>
            <w:shd w:val="clear" w:color="auto" w:fill="auto"/>
            <w:vAlign w:val="bottom"/>
            <w:hideMark/>
          </w:tcPr>
          <w:p w14:paraId="16AD7537"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 xml:space="preserve">Asioinnin helppous ja palvelutaso </w:t>
            </w:r>
          </w:p>
        </w:tc>
        <w:tc>
          <w:tcPr>
            <w:tcW w:w="1497" w:type="dxa"/>
            <w:tcBorders>
              <w:top w:val="nil"/>
              <w:left w:val="nil"/>
              <w:bottom w:val="nil"/>
              <w:right w:val="nil"/>
            </w:tcBorders>
            <w:shd w:val="clear" w:color="auto" w:fill="auto"/>
            <w:noWrap/>
            <w:vAlign w:val="center"/>
            <w:hideMark/>
          </w:tcPr>
          <w:p w14:paraId="177678FA"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64</w:t>
            </w:r>
          </w:p>
        </w:tc>
        <w:tc>
          <w:tcPr>
            <w:tcW w:w="1515" w:type="dxa"/>
            <w:tcBorders>
              <w:top w:val="nil"/>
              <w:left w:val="single" w:sz="8" w:space="0" w:color="auto"/>
              <w:bottom w:val="nil"/>
              <w:right w:val="nil"/>
            </w:tcBorders>
            <w:shd w:val="clear" w:color="auto" w:fill="auto"/>
            <w:noWrap/>
            <w:vAlign w:val="center"/>
            <w:hideMark/>
          </w:tcPr>
          <w:p w14:paraId="370BD8ED"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8 %</w:t>
            </w:r>
          </w:p>
        </w:tc>
        <w:tc>
          <w:tcPr>
            <w:tcW w:w="1984" w:type="dxa"/>
            <w:tcBorders>
              <w:top w:val="nil"/>
              <w:left w:val="single" w:sz="8" w:space="0" w:color="auto"/>
              <w:bottom w:val="nil"/>
              <w:right w:val="single" w:sz="8" w:space="0" w:color="auto"/>
            </w:tcBorders>
            <w:shd w:val="clear" w:color="auto" w:fill="auto"/>
            <w:noWrap/>
            <w:vAlign w:val="center"/>
            <w:hideMark/>
          </w:tcPr>
          <w:p w14:paraId="5C8DC839"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19 %</w:t>
            </w:r>
          </w:p>
        </w:tc>
      </w:tr>
      <w:tr w:rsidR="002A66D8" w:rsidRPr="002A66D8" w14:paraId="76632D2A" w14:textId="77777777" w:rsidTr="0097760A">
        <w:trPr>
          <w:trHeight w:val="264"/>
        </w:trPr>
        <w:tc>
          <w:tcPr>
            <w:tcW w:w="2024" w:type="dxa"/>
            <w:vMerge/>
            <w:tcBorders>
              <w:top w:val="nil"/>
              <w:left w:val="single" w:sz="8" w:space="0" w:color="auto"/>
              <w:bottom w:val="nil"/>
              <w:right w:val="nil"/>
            </w:tcBorders>
            <w:vAlign w:val="center"/>
            <w:hideMark/>
          </w:tcPr>
          <w:p w14:paraId="31DE0452" w14:textId="77777777" w:rsidR="002A66D8" w:rsidRPr="002A66D8" w:rsidRDefault="002A66D8" w:rsidP="002A66D8">
            <w:pPr>
              <w:overflowPunct/>
              <w:autoSpaceDE/>
              <w:autoSpaceDN/>
              <w:adjustRightInd/>
              <w:jc w:val="left"/>
              <w:textAlignment w:val="auto"/>
              <w:rPr>
                <w:rFonts w:cs="Arial"/>
                <w:color w:val="000000"/>
                <w:sz w:val="20"/>
              </w:rPr>
            </w:pPr>
          </w:p>
        </w:tc>
        <w:tc>
          <w:tcPr>
            <w:tcW w:w="2042" w:type="dxa"/>
            <w:tcBorders>
              <w:top w:val="nil"/>
              <w:left w:val="single" w:sz="8" w:space="0" w:color="auto"/>
              <w:bottom w:val="nil"/>
              <w:right w:val="single" w:sz="8" w:space="0" w:color="auto"/>
            </w:tcBorders>
            <w:shd w:val="clear" w:color="auto" w:fill="auto"/>
            <w:noWrap/>
            <w:vAlign w:val="bottom"/>
            <w:hideMark/>
          </w:tcPr>
          <w:p w14:paraId="2D58942F"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Asiakastyytyväisyys</w:t>
            </w:r>
          </w:p>
        </w:tc>
        <w:tc>
          <w:tcPr>
            <w:tcW w:w="1497" w:type="dxa"/>
            <w:tcBorders>
              <w:top w:val="nil"/>
              <w:left w:val="nil"/>
              <w:bottom w:val="nil"/>
              <w:right w:val="nil"/>
            </w:tcBorders>
            <w:shd w:val="clear" w:color="auto" w:fill="auto"/>
            <w:noWrap/>
            <w:vAlign w:val="center"/>
            <w:hideMark/>
          </w:tcPr>
          <w:p w14:paraId="3A39931C"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13</w:t>
            </w:r>
          </w:p>
        </w:tc>
        <w:tc>
          <w:tcPr>
            <w:tcW w:w="1515" w:type="dxa"/>
            <w:tcBorders>
              <w:top w:val="nil"/>
              <w:left w:val="single" w:sz="8" w:space="0" w:color="auto"/>
              <w:bottom w:val="nil"/>
              <w:right w:val="nil"/>
            </w:tcBorders>
            <w:shd w:val="clear" w:color="auto" w:fill="auto"/>
            <w:noWrap/>
            <w:vAlign w:val="center"/>
            <w:hideMark/>
          </w:tcPr>
          <w:p w14:paraId="4DCD7050"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0 %</w:t>
            </w:r>
          </w:p>
        </w:tc>
        <w:tc>
          <w:tcPr>
            <w:tcW w:w="1984" w:type="dxa"/>
            <w:tcBorders>
              <w:top w:val="nil"/>
              <w:left w:val="single" w:sz="8" w:space="0" w:color="auto"/>
              <w:bottom w:val="nil"/>
              <w:right w:val="single" w:sz="8" w:space="0" w:color="auto"/>
            </w:tcBorders>
            <w:shd w:val="clear" w:color="auto" w:fill="auto"/>
            <w:noWrap/>
            <w:vAlign w:val="center"/>
            <w:hideMark/>
          </w:tcPr>
          <w:p w14:paraId="5D5A906A"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0 %</w:t>
            </w:r>
          </w:p>
        </w:tc>
      </w:tr>
      <w:tr w:rsidR="002A66D8" w:rsidRPr="002A66D8" w14:paraId="21455097" w14:textId="77777777" w:rsidTr="0097760A">
        <w:trPr>
          <w:trHeight w:val="276"/>
        </w:trPr>
        <w:tc>
          <w:tcPr>
            <w:tcW w:w="2024" w:type="dxa"/>
            <w:vMerge/>
            <w:tcBorders>
              <w:top w:val="nil"/>
              <w:left w:val="single" w:sz="8" w:space="0" w:color="auto"/>
              <w:bottom w:val="nil"/>
              <w:right w:val="nil"/>
            </w:tcBorders>
            <w:vAlign w:val="center"/>
            <w:hideMark/>
          </w:tcPr>
          <w:p w14:paraId="55C88B5C" w14:textId="77777777" w:rsidR="002A66D8" w:rsidRPr="002A66D8" w:rsidRDefault="002A66D8" w:rsidP="002A66D8">
            <w:pPr>
              <w:overflowPunct/>
              <w:autoSpaceDE/>
              <w:autoSpaceDN/>
              <w:adjustRightInd/>
              <w:jc w:val="left"/>
              <w:textAlignment w:val="auto"/>
              <w:rPr>
                <w:rFonts w:cs="Arial"/>
                <w:color w:val="000000"/>
                <w:sz w:val="20"/>
              </w:rPr>
            </w:pPr>
          </w:p>
        </w:tc>
        <w:tc>
          <w:tcPr>
            <w:tcW w:w="2042" w:type="dxa"/>
            <w:tcBorders>
              <w:top w:val="nil"/>
              <w:left w:val="single" w:sz="8" w:space="0" w:color="auto"/>
              <w:bottom w:val="nil"/>
              <w:right w:val="single" w:sz="8" w:space="0" w:color="auto"/>
            </w:tcBorders>
            <w:shd w:val="clear" w:color="auto" w:fill="auto"/>
            <w:noWrap/>
            <w:vAlign w:val="bottom"/>
            <w:hideMark/>
          </w:tcPr>
          <w:p w14:paraId="09971FDE"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Veromyönteisyys</w:t>
            </w:r>
          </w:p>
        </w:tc>
        <w:tc>
          <w:tcPr>
            <w:tcW w:w="1497" w:type="dxa"/>
            <w:tcBorders>
              <w:top w:val="nil"/>
              <w:left w:val="nil"/>
              <w:bottom w:val="nil"/>
              <w:right w:val="nil"/>
            </w:tcBorders>
            <w:shd w:val="clear" w:color="auto" w:fill="auto"/>
            <w:noWrap/>
            <w:vAlign w:val="center"/>
            <w:hideMark/>
          </w:tcPr>
          <w:p w14:paraId="05AE3A27"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4</w:t>
            </w:r>
          </w:p>
        </w:tc>
        <w:tc>
          <w:tcPr>
            <w:tcW w:w="1515" w:type="dxa"/>
            <w:tcBorders>
              <w:top w:val="nil"/>
              <w:left w:val="single" w:sz="8" w:space="0" w:color="auto"/>
              <w:bottom w:val="single" w:sz="8" w:space="0" w:color="auto"/>
              <w:right w:val="nil"/>
            </w:tcBorders>
            <w:shd w:val="clear" w:color="auto" w:fill="auto"/>
            <w:noWrap/>
            <w:vAlign w:val="center"/>
            <w:hideMark/>
          </w:tcPr>
          <w:p w14:paraId="07F9ADFB"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1 %</w:t>
            </w:r>
          </w:p>
        </w:tc>
        <w:tc>
          <w:tcPr>
            <w:tcW w:w="1984" w:type="dxa"/>
            <w:tcBorders>
              <w:top w:val="nil"/>
              <w:left w:val="single" w:sz="8" w:space="0" w:color="auto"/>
              <w:bottom w:val="single" w:sz="8" w:space="0" w:color="auto"/>
              <w:right w:val="single" w:sz="8" w:space="0" w:color="auto"/>
            </w:tcBorders>
            <w:shd w:val="clear" w:color="auto" w:fill="auto"/>
            <w:noWrap/>
            <w:vAlign w:val="center"/>
            <w:hideMark/>
          </w:tcPr>
          <w:p w14:paraId="1094386C"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1 %</w:t>
            </w:r>
          </w:p>
        </w:tc>
      </w:tr>
      <w:tr w:rsidR="002A66D8" w:rsidRPr="002A66D8" w14:paraId="1ACF2167" w14:textId="77777777" w:rsidTr="0097760A">
        <w:trPr>
          <w:trHeight w:val="264"/>
        </w:trPr>
        <w:tc>
          <w:tcPr>
            <w:tcW w:w="20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318406"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Verotuksen vaikuttavuus</w:t>
            </w:r>
          </w:p>
        </w:tc>
        <w:tc>
          <w:tcPr>
            <w:tcW w:w="2042" w:type="dxa"/>
            <w:tcBorders>
              <w:top w:val="single" w:sz="8" w:space="0" w:color="auto"/>
              <w:left w:val="nil"/>
              <w:bottom w:val="nil"/>
              <w:right w:val="single" w:sz="8" w:space="0" w:color="auto"/>
            </w:tcBorders>
            <w:shd w:val="clear" w:color="auto" w:fill="auto"/>
            <w:noWrap/>
            <w:vAlign w:val="center"/>
            <w:hideMark/>
          </w:tcPr>
          <w:p w14:paraId="35A2CBD9"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Verokertymä</w:t>
            </w:r>
          </w:p>
        </w:tc>
        <w:tc>
          <w:tcPr>
            <w:tcW w:w="1497" w:type="dxa"/>
            <w:tcBorders>
              <w:top w:val="single" w:sz="8" w:space="0" w:color="auto"/>
              <w:left w:val="nil"/>
              <w:bottom w:val="nil"/>
              <w:right w:val="nil"/>
            </w:tcBorders>
            <w:shd w:val="clear" w:color="auto" w:fill="auto"/>
            <w:noWrap/>
            <w:vAlign w:val="center"/>
            <w:hideMark/>
          </w:tcPr>
          <w:p w14:paraId="41730C70"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19</w:t>
            </w:r>
          </w:p>
        </w:tc>
        <w:tc>
          <w:tcPr>
            <w:tcW w:w="1515" w:type="dxa"/>
            <w:tcBorders>
              <w:top w:val="nil"/>
              <w:left w:val="single" w:sz="8" w:space="0" w:color="auto"/>
              <w:bottom w:val="nil"/>
              <w:right w:val="single" w:sz="8" w:space="0" w:color="auto"/>
            </w:tcBorders>
            <w:shd w:val="clear" w:color="auto" w:fill="auto"/>
            <w:noWrap/>
            <w:vAlign w:val="center"/>
            <w:hideMark/>
          </w:tcPr>
          <w:p w14:paraId="75B0FEE6"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4 %</w:t>
            </w:r>
          </w:p>
        </w:tc>
        <w:tc>
          <w:tcPr>
            <w:tcW w:w="1984" w:type="dxa"/>
            <w:tcBorders>
              <w:top w:val="nil"/>
              <w:left w:val="nil"/>
              <w:bottom w:val="nil"/>
              <w:right w:val="single" w:sz="8" w:space="0" w:color="auto"/>
            </w:tcBorders>
            <w:shd w:val="clear" w:color="auto" w:fill="auto"/>
            <w:noWrap/>
            <w:vAlign w:val="center"/>
            <w:hideMark/>
          </w:tcPr>
          <w:p w14:paraId="222FB212"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7 %</w:t>
            </w:r>
          </w:p>
        </w:tc>
      </w:tr>
      <w:tr w:rsidR="002A66D8" w:rsidRPr="002A66D8" w14:paraId="13F107F0" w14:textId="77777777" w:rsidTr="0097760A">
        <w:trPr>
          <w:trHeight w:val="264"/>
        </w:trPr>
        <w:tc>
          <w:tcPr>
            <w:tcW w:w="2024" w:type="dxa"/>
            <w:vMerge/>
            <w:tcBorders>
              <w:top w:val="single" w:sz="8" w:space="0" w:color="auto"/>
              <w:left w:val="single" w:sz="8" w:space="0" w:color="auto"/>
              <w:bottom w:val="single" w:sz="8" w:space="0" w:color="000000"/>
              <w:right w:val="single" w:sz="8" w:space="0" w:color="auto"/>
            </w:tcBorders>
            <w:vAlign w:val="center"/>
            <w:hideMark/>
          </w:tcPr>
          <w:p w14:paraId="17411D20" w14:textId="77777777" w:rsidR="002A66D8" w:rsidRPr="002A66D8" w:rsidRDefault="002A66D8" w:rsidP="002A66D8">
            <w:pPr>
              <w:overflowPunct/>
              <w:autoSpaceDE/>
              <w:autoSpaceDN/>
              <w:adjustRightInd/>
              <w:jc w:val="left"/>
              <w:textAlignment w:val="auto"/>
              <w:rPr>
                <w:rFonts w:cs="Arial"/>
                <w:color w:val="000000"/>
                <w:sz w:val="20"/>
              </w:rPr>
            </w:pPr>
          </w:p>
        </w:tc>
        <w:tc>
          <w:tcPr>
            <w:tcW w:w="2042" w:type="dxa"/>
            <w:tcBorders>
              <w:top w:val="nil"/>
              <w:left w:val="nil"/>
              <w:bottom w:val="nil"/>
              <w:right w:val="single" w:sz="8" w:space="0" w:color="auto"/>
            </w:tcBorders>
            <w:shd w:val="clear" w:color="auto" w:fill="auto"/>
            <w:noWrap/>
            <w:vAlign w:val="center"/>
            <w:hideMark/>
          </w:tcPr>
          <w:p w14:paraId="38070AA6"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Vaikuttavuus</w:t>
            </w:r>
          </w:p>
        </w:tc>
        <w:tc>
          <w:tcPr>
            <w:tcW w:w="1497" w:type="dxa"/>
            <w:tcBorders>
              <w:top w:val="nil"/>
              <w:left w:val="nil"/>
              <w:bottom w:val="nil"/>
              <w:right w:val="nil"/>
            </w:tcBorders>
            <w:shd w:val="clear" w:color="auto" w:fill="auto"/>
            <w:noWrap/>
            <w:vAlign w:val="center"/>
            <w:hideMark/>
          </w:tcPr>
          <w:p w14:paraId="01305AB9"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40</w:t>
            </w:r>
          </w:p>
        </w:tc>
        <w:tc>
          <w:tcPr>
            <w:tcW w:w="1515" w:type="dxa"/>
            <w:tcBorders>
              <w:top w:val="nil"/>
              <w:left w:val="single" w:sz="8" w:space="0" w:color="auto"/>
              <w:bottom w:val="nil"/>
              <w:right w:val="single" w:sz="8" w:space="0" w:color="auto"/>
            </w:tcBorders>
            <w:shd w:val="clear" w:color="auto" w:fill="auto"/>
            <w:noWrap/>
            <w:vAlign w:val="center"/>
            <w:hideMark/>
          </w:tcPr>
          <w:p w14:paraId="37152B92"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2 %</w:t>
            </w:r>
          </w:p>
        </w:tc>
        <w:tc>
          <w:tcPr>
            <w:tcW w:w="1984" w:type="dxa"/>
            <w:tcBorders>
              <w:top w:val="nil"/>
              <w:left w:val="nil"/>
              <w:bottom w:val="nil"/>
              <w:right w:val="single" w:sz="8" w:space="0" w:color="auto"/>
            </w:tcBorders>
            <w:shd w:val="clear" w:color="auto" w:fill="auto"/>
            <w:noWrap/>
            <w:vAlign w:val="center"/>
            <w:hideMark/>
          </w:tcPr>
          <w:p w14:paraId="42355B01"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6 %</w:t>
            </w:r>
          </w:p>
        </w:tc>
      </w:tr>
      <w:tr w:rsidR="002A66D8" w:rsidRPr="002A66D8" w14:paraId="2DDEF558" w14:textId="77777777" w:rsidTr="0097760A">
        <w:trPr>
          <w:trHeight w:val="276"/>
        </w:trPr>
        <w:tc>
          <w:tcPr>
            <w:tcW w:w="2024" w:type="dxa"/>
            <w:vMerge/>
            <w:tcBorders>
              <w:top w:val="single" w:sz="8" w:space="0" w:color="auto"/>
              <w:left w:val="single" w:sz="8" w:space="0" w:color="auto"/>
              <w:bottom w:val="single" w:sz="8" w:space="0" w:color="000000"/>
              <w:right w:val="single" w:sz="8" w:space="0" w:color="auto"/>
            </w:tcBorders>
            <w:vAlign w:val="center"/>
            <w:hideMark/>
          </w:tcPr>
          <w:p w14:paraId="20CA3C1C" w14:textId="77777777" w:rsidR="002A66D8" w:rsidRPr="002A66D8" w:rsidRDefault="002A66D8" w:rsidP="002A66D8">
            <w:pPr>
              <w:overflowPunct/>
              <w:autoSpaceDE/>
              <w:autoSpaceDN/>
              <w:adjustRightInd/>
              <w:jc w:val="left"/>
              <w:textAlignment w:val="auto"/>
              <w:rPr>
                <w:rFonts w:cs="Arial"/>
                <w:color w:val="000000"/>
                <w:sz w:val="20"/>
              </w:rPr>
            </w:pPr>
          </w:p>
        </w:tc>
        <w:tc>
          <w:tcPr>
            <w:tcW w:w="2042" w:type="dxa"/>
            <w:tcBorders>
              <w:top w:val="nil"/>
              <w:left w:val="nil"/>
              <w:bottom w:val="single" w:sz="8" w:space="0" w:color="auto"/>
              <w:right w:val="single" w:sz="8" w:space="0" w:color="auto"/>
            </w:tcBorders>
            <w:shd w:val="clear" w:color="auto" w:fill="auto"/>
            <w:noWrap/>
            <w:vAlign w:val="center"/>
            <w:hideMark/>
          </w:tcPr>
          <w:p w14:paraId="0970C150"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Sidosryhmäyhteistyö</w:t>
            </w:r>
          </w:p>
        </w:tc>
        <w:tc>
          <w:tcPr>
            <w:tcW w:w="1497" w:type="dxa"/>
            <w:tcBorders>
              <w:top w:val="nil"/>
              <w:left w:val="nil"/>
              <w:bottom w:val="single" w:sz="8" w:space="0" w:color="auto"/>
              <w:right w:val="nil"/>
            </w:tcBorders>
            <w:shd w:val="clear" w:color="auto" w:fill="auto"/>
            <w:noWrap/>
            <w:vAlign w:val="center"/>
            <w:hideMark/>
          </w:tcPr>
          <w:p w14:paraId="45B4C3F3"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3</w:t>
            </w:r>
          </w:p>
        </w:tc>
        <w:tc>
          <w:tcPr>
            <w:tcW w:w="1515" w:type="dxa"/>
            <w:tcBorders>
              <w:top w:val="nil"/>
              <w:left w:val="single" w:sz="8" w:space="0" w:color="auto"/>
              <w:bottom w:val="single" w:sz="8" w:space="0" w:color="auto"/>
              <w:right w:val="single" w:sz="8" w:space="0" w:color="auto"/>
            </w:tcBorders>
            <w:shd w:val="clear" w:color="auto" w:fill="auto"/>
            <w:noWrap/>
            <w:vAlign w:val="center"/>
            <w:hideMark/>
          </w:tcPr>
          <w:p w14:paraId="42CE095C"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2 %</w:t>
            </w:r>
          </w:p>
        </w:tc>
        <w:tc>
          <w:tcPr>
            <w:tcW w:w="1984" w:type="dxa"/>
            <w:tcBorders>
              <w:top w:val="nil"/>
              <w:left w:val="nil"/>
              <w:bottom w:val="single" w:sz="8" w:space="0" w:color="auto"/>
              <w:right w:val="single" w:sz="8" w:space="0" w:color="auto"/>
            </w:tcBorders>
            <w:shd w:val="clear" w:color="auto" w:fill="auto"/>
            <w:noWrap/>
            <w:vAlign w:val="center"/>
            <w:hideMark/>
          </w:tcPr>
          <w:p w14:paraId="7549DE38"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0 %</w:t>
            </w:r>
          </w:p>
        </w:tc>
      </w:tr>
      <w:tr w:rsidR="002A66D8" w:rsidRPr="002A66D8" w14:paraId="59F86434" w14:textId="77777777" w:rsidTr="0097760A">
        <w:trPr>
          <w:trHeight w:val="264"/>
        </w:trPr>
        <w:tc>
          <w:tcPr>
            <w:tcW w:w="2024" w:type="dxa"/>
            <w:vMerge w:val="restart"/>
            <w:tcBorders>
              <w:top w:val="nil"/>
              <w:left w:val="single" w:sz="8" w:space="0" w:color="auto"/>
              <w:bottom w:val="single" w:sz="8" w:space="0" w:color="000000"/>
              <w:right w:val="single" w:sz="8" w:space="0" w:color="auto"/>
            </w:tcBorders>
            <w:shd w:val="clear" w:color="auto" w:fill="auto"/>
            <w:vAlign w:val="center"/>
            <w:hideMark/>
          </w:tcPr>
          <w:p w14:paraId="5D76F321"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Tuotteet ja prosessit</w:t>
            </w:r>
          </w:p>
        </w:tc>
        <w:tc>
          <w:tcPr>
            <w:tcW w:w="2042" w:type="dxa"/>
            <w:tcBorders>
              <w:top w:val="nil"/>
              <w:left w:val="nil"/>
              <w:bottom w:val="nil"/>
              <w:right w:val="nil"/>
            </w:tcBorders>
            <w:shd w:val="clear" w:color="auto" w:fill="auto"/>
            <w:noWrap/>
            <w:vAlign w:val="center"/>
            <w:hideMark/>
          </w:tcPr>
          <w:p w14:paraId="375A21BD" w14:textId="4071E7FA"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Toimintavarmuus*</w:t>
            </w:r>
            <w:r w:rsidR="00553C69">
              <w:rPr>
                <w:rFonts w:cs="Arial"/>
                <w:color w:val="000000"/>
                <w:sz w:val="20"/>
              </w:rPr>
              <w:t>*</w:t>
            </w:r>
          </w:p>
        </w:tc>
        <w:tc>
          <w:tcPr>
            <w:tcW w:w="1497" w:type="dxa"/>
            <w:tcBorders>
              <w:top w:val="nil"/>
              <w:left w:val="single" w:sz="8" w:space="0" w:color="auto"/>
              <w:bottom w:val="nil"/>
              <w:right w:val="single" w:sz="8" w:space="0" w:color="auto"/>
            </w:tcBorders>
            <w:shd w:val="clear" w:color="auto" w:fill="auto"/>
            <w:noWrap/>
            <w:vAlign w:val="center"/>
            <w:hideMark/>
          </w:tcPr>
          <w:p w14:paraId="17CD26F4"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102</w:t>
            </w:r>
          </w:p>
        </w:tc>
        <w:tc>
          <w:tcPr>
            <w:tcW w:w="1515" w:type="dxa"/>
            <w:tcBorders>
              <w:top w:val="nil"/>
              <w:left w:val="nil"/>
              <w:bottom w:val="nil"/>
              <w:right w:val="nil"/>
            </w:tcBorders>
            <w:shd w:val="clear" w:color="auto" w:fill="auto"/>
            <w:noWrap/>
            <w:vAlign w:val="center"/>
            <w:hideMark/>
          </w:tcPr>
          <w:p w14:paraId="345C2992" w14:textId="77777777" w:rsidR="002A66D8" w:rsidRPr="002A66D8" w:rsidRDefault="002A66D8" w:rsidP="002A66D8">
            <w:pPr>
              <w:overflowPunct/>
              <w:autoSpaceDE/>
              <w:autoSpaceDN/>
              <w:adjustRightInd/>
              <w:jc w:val="center"/>
              <w:textAlignment w:val="auto"/>
              <w:rPr>
                <w:rFonts w:cs="Arial"/>
                <w:sz w:val="20"/>
              </w:rPr>
            </w:pPr>
            <w:r w:rsidRPr="002A66D8">
              <w:rPr>
                <w:rFonts w:cs="Arial"/>
                <w:sz w:val="20"/>
              </w:rPr>
              <w:t>39 %</w:t>
            </w:r>
          </w:p>
        </w:tc>
        <w:tc>
          <w:tcPr>
            <w:tcW w:w="1984" w:type="dxa"/>
            <w:tcBorders>
              <w:top w:val="nil"/>
              <w:left w:val="single" w:sz="8" w:space="0" w:color="auto"/>
              <w:bottom w:val="nil"/>
              <w:right w:val="single" w:sz="8" w:space="0" w:color="auto"/>
            </w:tcBorders>
            <w:shd w:val="clear" w:color="auto" w:fill="auto"/>
            <w:noWrap/>
            <w:vAlign w:val="center"/>
            <w:hideMark/>
          </w:tcPr>
          <w:p w14:paraId="4EB39217"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27 %</w:t>
            </w:r>
          </w:p>
        </w:tc>
      </w:tr>
      <w:tr w:rsidR="002A66D8" w:rsidRPr="002A66D8" w14:paraId="433E7003" w14:textId="77777777" w:rsidTr="0097760A">
        <w:trPr>
          <w:trHeight w:val="264"/>
        </w:trPr>
        <w:tc>
          <w:tcPr>
            <w:tcW w:w="2024" w:type="dxa"/>
            <w:vMerge/>
            <w:tcBorders>
              <w:top w:val="nil"/>
              <w:left w:val="single" w:sz="8" w:space="0" w:color="auto"/>
              <w:bottom w:val="single" w:sz="8" w:space="0" w:color="000000"/>
              <w:right w:val="single" w:sz="8" w:space="0" w:color="auto"/>
            </w:tcBorders>
            <w:vAlign w:val="center"/>
            <w:hideMark/>
          </w:tcPr>
          <w:p w14:paraId="292915A7" w14:textId="77777777" w:rsidR="002A66D8" w:rsidRPr="002A66D8" w:rsidRDefault="002A66D8" w:rsidP="002A66D8">
            <w:pPr>
              <w:overflowPunct/>
              <w:autoSpaceDE/>
              <w:autoSpaceDN/>
              <w:adjustRightInd/>
              <w:jc w:val="left"/>
              <w:textAlignment w:val="auto"/>
              <w:rPr>
                <w:rFonts w:cs="Arial"/>
                <w:color w:val="000000"/>
                <w:sz w:val="20"/>
              </w:rPr>
            </w:pPr>
          </w:p>
        </w:tc>
        <w:tc>
          <w:tcPr>
            <w:tcW w:w="2042" w:type="dxa"/>
            <w:tcBorders>
              <w:top w:val="nil"/>
              <w:left w:val="nil"/>
              <w:bottom w:val="nil"/>
              <w:right w:val="nil"/>
            </w:tcBorders>
            <w:shd w:val="clear" w:color="auto" w:fill="auto"/>
            <w:noWrap/>
            <w:vAlign w:val="center"/>
            <w:hideMark/>
          </w:tcPr>
          <w:p w14:paraId="28307DB0"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 xml:space="preserve">Tehokkuus </w:t>
            </w:r>
          </w:p>
        </w:tc>
        <w:tc>
          <w:tcPr>
            <w:tcW w:w="1497" w:type="dxa"/>
            <w:tcBorders>
              <w:top w:val="nil"/>
              <w:left w:val="single" w:sz="8" w:space="0" w:color="auto"/>
              <w:bottom w:val="nil"/>
              <w:right w:val="single" w:sz="8" w:space="0" w:color="auto"/>
            </w:tcBorders>
            <w:shd w:val="clear" w:color="auto" w:fill="auto"/>
            <w:noWrap/>
            <w:vAlign w:val="center"/>
            <w:hideMark/>
          </w:tcPr>
          <w:p w14:paraId="6752907E"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57</w:t>
            </w:r>
          </w:p>
        </w:tc>
        <w:tc>
          <w:tcPr>
            <w:tcW w:w="1515" w:type="dxa"/>
            <w:tcBorders>
              <w:top w:val="nil"/>
              <w:left w:val="nil"/>
              <w:bottom w:val="nil"/>
              <w:right w:val="nil"/>
            </w:tcBorders>
            <w:shd w:val="clear" w:color="auto" w:fill="auto"/>
            <w:noWrap/>
            <w:vAlign w:val="center"/>
            <w:hideMark/>
          </w:tcPr>
          <w:p w14:paraId="657E1D85" w14:textId="77777777" w:rsidR="002A66D8" w:rsidRPr="002A66D8" w:rsidRDefault="002A66D8" w:rsidP="002A66D8">
            <w:pPr>
              <w:overflowPunct/>
              <w:autoSpaceDE/>
              <w:autoSpaceDN/>
              <w:adjustRightInd/>
              <w:jc w:val="center"/>
              <w:textAlignment w:val="auto"/>
              <w:rPr>
                <w:rFonts w:cs="Arial"/>
                <w:sz w:val="20"/>
              </w:rPr>
            </w:pPr>
            <w:r w:rsidRPr="002A66D8">
              <w:rPr>
                <w:rFonts w:cs="Arial"/>
                <w:sz w:val="20"/>
              </w:rPr>
              <w:t>39 %</w:t>
            </w:r>
          </w:p>
        </w:tc>
        <w:tc>
          <w:tcPr>
            <w:tcW w:w="1984" w:type="dxa"/>
            <w:tcBorders>
              <w:top w:val="nil"/>
              <w:left w:val="single" w:sz="8" w:space="0" w:color="auto"/>
              <w:bottom w:val="nil"/>
              <w:right w:val="single" w:sz="8" w:space="0" w:color="auto"/>
            </w:tcBorders>
            <w:shd w:val="clear" w:color="auto" w:fill="auto"/>
            <w:noWrap/>
            <w:vAlign w:val="center"/>
            <w:hideMark/>
          </w:tcPr>
          <w:p w14:paraId="323F58CD"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35 %</w:t>
            </w:r>
          </w:p>
        </w:tc>
      </w:tr>
      <w:tr w:rsidR="002A66D8" w:rsidRPr="002A66D8" w14:paraId="676C13D7" w14:textId="77777777" w:rsidTr="0097760A">
        <w:trPr>
          <w:trHeight w:val="276"/>
        </w:trPr>
        <w:tc>
          <w:tcPr>
            <w:tcW w:w="2024" w:type="dxa"/>
            <w:vMerge/>
            <w:tcBorders>
              <w:top w:val="nil"/>
              <w:left w:val="single" w:sz="8" w:space="0" w:color="auto"/>
              <w:bottom w:val="single" w:sz="8" w:space="0" w:color="000000"/>
              <w:right w:val="single" w:sz="8" w:space="0" w:color="auto"/>
            </w:tcBorders>
            <w:vAlign w:val="center"/>
            <w:hideMark/>
          </w:tcPr>
          <w:p w14:paraId="4D5BFE21" w14:textId="77777777" w:rsidR="002A66D8" w:rsidRPr="002A66D8" w:rsidRDefault="002A66D8" w:rsidP="002A66D8">
            <w:pPr>
              <w:overflowPunct/>
              <w:autoSpaceDE/>
              <w:autoSpaceDN/>
              <w:adjustRightInd/>
              <w:jc w:val="left"/>
              <w:textAlignment w:val="auto"/>
              <w:rPr>
                <w:rFonts w:cs="Arial"/>
                <w:color w:val="000000"/>
                <w:sz w:val="20"/>
              </w:rPr>
            </w:pPr>
          </w:p>
        </w:tc>
        <w:tc>
          <w:tcPr>
            <w:tcW w:w="2042" w:type="dxa"/>
            <w:tcBorders>
              <w:top w:val="nil"/>
              <w:left w:val="nil"/>
              <w:bottom w:val="single" w:sz="8" w:space="0" w:color="auto"/>
              <w:right w:val="nil"/>
            </w:tcBorders>
            <w:shd w:val="clear" w:color="auto" w:fill="auto"/>
            <w:noWrap/>
            <w:vAlign w:val="center"/>
            <w:hideMark/>
          </w:tcPr>
          <w:p w14:paraId="5D310610"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Yhtenäisyys</w:t>
            </w:r>
          </w:p>
        </w:tc>
        <w:tc>
          <w:tcPr>
            <w:tcW w:w="1497" w:type="dxa"/>
            <w:tcBorders>
              <w:top w:val="nil"/>
              <w:left w:val="single" w:sz="8" w:space="0" w:color="auto"/>
              <w:bottom w:val="single" w:sz="8" w:space="0" w:color="auto"/>
              <w:right w:val="single" w:sz="8" w:space="0" w:color="auto"/>
            </w:tcBorders>
            <w:shd w:val="clear" w:color="auto" w:fill="auto"/>
            <w:noWrap/>
            <w:vAlign w:val="center"/>
            <w:hideMark/>
          </w:tcPr>
          <w:p w14:paraId="3CC277FE"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2</w:t>
            </w:r>
          </w:p>
        </w:tc>
        <w:tc>
          <w:tcPr>
            <w:tcW w:w="1515" w:type="dxa"/>
            <w:tcBorders>
              <w:top w:val="nil"/>
              <w:left w:val="nil"/>
              <w:bottom w:val="nil"/>
              <w:right w:val="nil"/>
            </w:tcBorders>
            <w:shd w:val="clear" w:color="auto" w:fill="auto"/>
            <w:noWrap/>
            <w:vAlign w:val="center"/>
            <w:hideMark/>
          </w:tcPr>
          <w:p w14:paraId="0B821F7F"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0 %</w:t>
            </w:r>
          </w:p>
        </w:tc>
        <w:tc>
          <w:tcPr>
            <w:tcW w:w="1984" w:type="dxa"/>
            <w:tcBorders>
              <w:top w:val="nil"/>
              <w:left w:val="single" w:sz="8" w:space="0" w:color="auto"/>
              <w:bottom w:val="nil"/>
              <w:right w:val="single" w:sz="8" w:space="0" w:color="auto"/>
            </w:tcBorders>
            <w:shd w:val="clear" w:color="auto" w:fill="auto"/>
            <w:noWrap/>
            <w:vAlign w:val="center"/>
            <w:hideMark/>
          </w:tcPr>
          <w:p w14:paraId="19FF04E9"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1 %</w:t>
            </w:r>
          </w:p>
        </w:tc>
      </w:tr>
      <w:tr w:rsidR="002A66D8" w:rsidRPr="002A66D8" w14:paraId="41180091" w14:textId="77777777" w:rsidTr="0097760A">
        <w:trPr>
          <w:trHeight w:val="264"/>
        </w:trPr>
        <w:tc>
          <w:tcPr>
            <w:tcW w:w="2024" w:type="dxa"/>
            <w:vMerge w:val="restart"/>
            <w:tcBorders>
              <w:top w:val="nil"/>
              <w:left w:val="single" w:sz="8" w:space="0" w:color="auto"/>
              <w:bottom w:val="nil"/>
              <w:right w:val="single" w:sz="8" w:space="0" w:color="auto"/>
            </w:tcBorders>
            <w:shd w:val="clear" w:color="auto" w:fill="auto"/>
            <w:vAlign w:val="center"/>
            <w:hideMark/>
          </w:tcPr>
          <w:p w14:paraId="38421DF6"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Työntekijäkokemus</w:t>
            </w:r>
          </w:p>
        </w:tc>
        <w:tc>
          <w:tcPr>
            <w:tcW w:w="2042" w:type="dxa"/>
            <w:tcBorders>
              <w:top w:val="nil"/>
              <w:left w:val="nil"/>
              <w:bottom w:val="nil"/>
              <w:right w:val="single" w:sz="8" w:space="0" w:color="auto"/>
            </w:tcBorders>
            <w:shd w:val="clear" w:color="auto" w:fill="auto"/>
            <w:noWrap/>
            <w:vAlign w:val="center"/>
            <w:hideMark/>
          </w:tcPr>
          <w:p w14:paraId="5B842DB3"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Työntekijäkokemus</w:t>
            </w:r>
          </w:p>
        </w:tc>
        <w:tc>
          <w:tcPr>
            <w:tcW w:w="1497" w:type="dxa"/>
            <w:tcBorders>
              <w:top w:val="nil"/>
              <w:left w:val="nil"/>
              <w:bottom w:val="nil"/>
              <w:right w:val="single" w:sz="8" w:space="0" w:color="auto"/>
            </w:tcBorders>
            <w:shd w:val="clear" w:color="auto" w:fill="auto"/>
            <w:noWrap/>
            <w:vAlign w:val="center"/>
            <w:hideMark/>
          </w:tcPr>
          <w:p w14:paraId="78DA02DE"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24</w:t>
            </w:r>
          </w:p>
        </w:tc>
        <w:tc>
          <w:tcPr>
            <w:tcW w:w="1515" w:type="dxa"/>
            <w:tcBorders>
              <w:top w:val="single" w:sz="8" w:space="0" w:color="auto"/>
              <w:left w:val="nil"/>
              <w:bottom w:val="nil"/>
              <w:right w:val="nil"/>
            </w:tcBorders>
            <w:shd w:val="clear" w:color="auto" w:fill="auto"/>
            <w:noWrap/>
            <w:vAlign w:val="center"/>
            <w:hideMark/>
          </w:tcPr>
          <w:p w14:paraId="5EACEC7E"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0 %</w:t>
            </w:r>
          </w:p>
        </w:tc>
        <w:tc>
          <w:tcPr>
            <w:tcW w:w="1984" w:type="dxa"/>
            <w:tcBorders>
              <w:top w:val="single" w:sz="8" w:space="0" w:color="auto"/>
              <w:left w:val="single" w:sz="8" w:space="0" w:color="auto"/>
              <w:bottom w:val="nil"/>
              <w:right w:val="single" w:sz="8" w:space="0" w:color="auto"/>
            </w:tcBorders>
            <w:shd w:val="clear" w:color="auto" w:fill="auto"/>
            <w:noWrap/>
            <w:vAlign w:val="center"/>
            <w:hideMark/>
          </w:tcPr>
          <w:p w14:paraId="2AF982B4"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1 %</w:t>
            </w:r>
          </w:p>
        </w:tc>
      </w:tr>
      <w:tr w:rsidR="002A66D8" w:rsidRPr="002A66D8" w14:paraId="2326D2CC" w14:textId="77777777" w:rsidTr="0097760A">
        <w:trPr>
          <w:trHeight w:val="276"/>
        </w:trPr>
        <w:tc>
          <w:tcPr>
            <w:tcW w:w="2024" w:type="dxa"/>
            <w:vMerge/>
            <w:tcBorders>
              <w:top w:val="nil"/>
              <w:left w:val="single" w:sz="8" w:space="0" w:color="auto"/>
              <w:bottom w:val="nil"/>
              <w:right w:val="single" w:sz="8" w:space="0" w:color="auto"/>
            </w:tcBorders>
            <w:vAlign w:val="center"/>
            <w:hideMark/>
          </w:tcPr>
          <w:p w14:paraId="50DA97F6" w14:textId="77777777" w:rsidR="002A66D8" w:rsidRPr="002A66D8" w:rsidRDefault="002A66D8" w:rsidP="002A66D8">
            <w:pPr>
              <w:overflowPunct/>
              <w:autoSpaceDE/>
              <w:autoSpaceDN/>
              <w:adjustRightInd/>
              <w:jc w:val="left"/>
              <w:textAlignment w:val="auto"/>
              <w:rPr>
                <w:rFonts w:cs="Arial"/>
                <w:color w:val="000000"/>
                <w:sz w:val="20"/>
              </w:rPr>
            </w:pPr>
          </w:p>
        </w:tc>
        <w:tc>
          <w:tcPr>
            <w:tcW w:w="2042" w:type="dxa"/>
            <w:tcBorders>
              <w:top w:val="nil"/>
              <w:left w:val="nil"/>
              <w:bottom w:val="nil"/>
              <w:right w:val="single" w:sz="8" w:space="0" w:color="auto"/>
            </w:tcBorders>
            <w:shd w:val="clear" w:color="auto" w:fill="auto"/>
            <w:noWrap/>
            <w:vAlign w:val="center"/>
            <w:hideMark/>
          </w:tcPr>
          <w:p w14:paraId="6D0497AC" w14:textId="77777777"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Henkilöstösuunnittelu</w:t>
            </w:r>
          </w:p>
        </w:tc>
        <w:tc>
          <w:tcPr>
            <w:tcW w:w="1497" w:type="dxa"/>
            <w:tcBorders>
              <w:top w:val="nil"/>
              <w:left w:val="nil"/>
              <w:bottom w:val="single" w:sz="8" w:space="0" w:color="auto"/>
              <w:right w:val="single" w:sz="8" w:space="0" w:color="auto"/>
            </w:tcBorders>
            <w:shd w:val="clear" w:color="auto" w:fill="auto"/>
            <w:noWrap/>
            <w:vAlign w:val="center"/>
            <w:hideMark/>
          </w:tcPr>
          <w:p w14:paraId="643BA37C"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2</w:t>
            </w:r>
          </w:p>
        </w:tc>
        <w:tc>
          <w:tcPr>
            <w:tcW w:w="1515" w:type="dxa"/>
            <w:tcBorders>
              <w:top w:val="nil"/>
              <w:left w:val="nil"/>
              <w:bottom w:val="single" w:sz="8" w:space="0" w:color="auto"/>
              <w:right w:val="nil"/>
            </w:tcBorders>
            <w:shd w:val="clear" w:color="auto" w:fill="auto"/>
            <w:noWrap/>
            <w:vAlign w:val="center"/>
            <w:hideMark/>
          </w:tcPr>
          <w:p w14:paraId="5EFBAB94"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0 %</w:t>
            </w:r>
          </w:p>
        </w:tc>
        <w:tc>
          <w:tcPr>
            <w:tcW w:w="1984" w:type="dxa"/>
            <w:tcBorders>
              <w:top w:val="nil"/>
              <w:left w:val="single" w:sz="8" w:space="0" w:color="auto"/>
              <w:bottom w:val="single" w:sz="8" w:space="0" w:color="auto"/>
              <w:right w:val="single" w:sz="8" w:space="0" w:color="auto"/>
            </w:tcBorders>
            <w:shd w:val="clear" w:color="auto" w:fill="auto"/>
            <w:noWrap/>
            <w:vAlign w:val="center"/>
            <w:hideMark/>
          </w:tcPr>
          <w:p w14:paraId="77F23D4E"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1 %</w:t>
            </w:r>
          </w:p>
        </w:tc>
      </w:tr>
      <w:tr w:rsidR="002A66D8" w:rsidRPr="002A66D8" w14:paraId="2B2B1BBB" w14:textId="77777777" w:rsidTr="0097760A">
        <w:trPr>
          <w:trHeight w:val="276"/>
        </w:trPr>
        <w:tc>
          <w:tcPr>
            <w:tcW w:w="2024" w:type="dxa"/>
            <w:tcBorders>
              <w:top w:val="single" w:sz="8" w:space="0" w:color="auto"/>
              <w:left w:val="single" w:sz="8" w:space="0" w:color="auto"/>
              <w:bottom w:val="single" w:sz="8" w:space="0" w:color="auto"/>
              <w:right w:val="nil"/>
            </w:tcBorders>
            <w:shd w:val="clear" w:color="auto" w:fill="auto"/>
            <w:vAlign w:val="center"/>
            <w:hideMark/>
          </w:tcPr>
          <w:p w14:paraId="2371A085" w14:textId="2DDADD8B" w:rsidR="002A66D8" w:rsidRPr="002A66D8" w:rsidRDefault="002A66D8" w:rsidP="002A66D8">
            <w:pPr>
              <w:overflowPunct/>
              <w:autoSpaceDE/>
              <w:autoSpaceDN/>
              <w:adjustRightInd/>
              <w:jc w:val="left"/>
              <w:textAlignment w:val="auto"/>
              <w:rPr>
                <w:rFonts w:cs="Arial"/>
                <w:color w:val="000000"/>
                <w:sz w:val="20"/>
              </w:rPr>
            </w:pPr>
            <w:r w:rsidRPr="002A66D8">
              <w:rPr>
                <w:rFonts w:cs="Arial"/>
                <w:color w:val="000000"/>
                <w:sz w:val="20"/>
              </w:rPr>
              <w:t>Muu tavoite **</w:t>
            </w:r>
            <w:r w:rsidR="00553C69">
              <w:rPr>
                <w:rFonts w:cs="Arial"/>
                <w:color w:val="000000"/>
                <w:sz w:val="20"/>
              </w:rPr>
              <w:t>*</w:t>
            </w:r>
          </w:p>
        </w:tc>
        <w:tc>
          <w:tcPr>
            <w:tcW w:w="2042" w:type="dxa"/>
            <w:tcBorders>
              <w:top w:val="single" w:sz="8" w:space="0" w:color="auto"/>
              <w:left w:val="nil"/>
              <w:bottom w:val="single" w:sz="8" w:space="0" w:color="auto"/>
              <w:right w:val="single" w:sz="8" w:space="0" w:color="auto"/>
            </w:tcBorders>
            <w:shd w:val="clear" w:color="auto" w:fill="auto"/>
            <w:noWrap/>
            <w:vAlign w:val="center"/>
            <w:hideMark/>
          </w:tcPr>
          <w:p w14:paraId="5927E1EF" w14:textId="77777777" w:rsidR="002A66D8" w:rsidRPr="002A66D8" w:rsidRDefault="002A66D8" w:rsidP="002A66D8">
            <w:pPr>
              <w:overflowPunct/>
              <w:autoSpaceDE/>
              <w:autoSpaceDN/>
              <w:adjustRightInd/>
              <w:ind w:firstLineChars="100" w:firstLine="180"/>
              <w:jc w:val="left"/>
              <w:textAlignment w:val="auto"/>
              <w:rPr>
                <w:rFonts w:cs="Arial"/>
                <w:color w:val="000000"/>
                <w:sz w:val="18"/>
                <w:szCs w:val="18"/>
              </w:rPr>
            </w:pPr>
            <w:r w:rsidRPr="002A66D8">
              <w:rPr>
                <w:rFonts w:cs="Arial"/>
                <w:color w:val="000000"/>
                <w:sz w:val="18"/>
                <w:szCs w:val="18"/>
              </w:rPr>
              <w:t> </w:t>
            </w:r>
          </w:p>
        </w:tc>
        <w:tc>
          <w:tcPr>
            <w:tcW w:w="1497" w:type="dxa"/>
            <w:tcBorders>
              <w:top w:val="nil"/>
              <w:left w:val="nil"/>
              <w:bottom w:val="single" w:sz="8" w:space="0" w:color="auto"/>
              <w:right w:val="single" w:sz="8" w:space="0" w:color="auto"/>
            </w:tcBorders>
            <w:shd w:val="clear" w:color="auto" w:fill="auto"/>
            <w:noWrap/>
            <w:vAlign w:val="center"/>
            <w:hideMark/>
          </w:tcPr>
          <w:p w14:paraId="6A1382EF"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13</w:t>
            </w:r>
          </w:p>
        </w:tc>
        <w:tc>
          <w:tcPr>
            <w:tcW w:w="1515" w:type="dxa"/>
            <w:tcBorders>
              <w:top w:val="nil"/>
              <w:left w:val="nil"/>
              <w:bottom w:val="single" w:sz="8" w:space="0" w:color="auto"/>
              <w:right w:val="single" w:sz="8" w:space="0" w:color="auto"/>
            </w:tcBorders>
            <w:shd w:val="clear" w:color="auto" w:fill="auto"/>
            <w:noWrap/>
            <w:vAlign w:val="center"/>
            <w:hideMark/>
          </w:tcPr>
          <w:p w14:paraId="0993075C"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5 %</w:t>
            </w:r>
          </w:p>
        </w:tc>
        <w:tc>
          <w:tcPr>
            <w:tcW w:w="1984" w:type="dxa"/>
            <w:tcBorders>
              <w:top w:val="nil"/>
              <w:left w:val="nil"/>
              <w:bottom w:val="single" w:sz="8" w:space="0" w:color="auto"/>
              <w:right w:val="single" w:sz="8" w:space="0" w:color="auto"/>
            </w:tcBorders>
            <w:shd w:val="clear" w:color="auto" w:fill="auto"/>
            <w:noWrap/>
            <w:vAlign w:val="center"/>
            <w:hideMark/>
          </w:tcPr>
          <w:p w14:paraId="688E038D"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2 %</w:t>
            </w:r>
          </w:p>
        </w:tc>
      </w:tr>
      <w:tr w:rsidR="002A66D8" w:rsidRPr="002A66D8" w14:paraId="09799FBD" w14:textId="77777777" w:rsidTr="0097760A">
        <w:trPr>
          <w:trHeight w:val="276"/>
        </w:trPr>
        <w:tc>
          <w:tcPr>
            <w:tcW w:w="2024" w:type="dxa"/>
            <w:tcBorders>
              <w:top w:val="nil"/>
              <w:left w:val="single" w:sz="8" w:space="0" w:color="auto"/>
              <w:bottom w:val="single" w:sz="8" w:space="0" w:color="auto"/>
              <w:right w:val="single" w:sz="8" w:space="0" w:color="auto"/>
            </w:tcBorders>
            <w:shd w:val="clear" w:color="000000" w:fill="E2EFDA"/>
            <w:noWrap/>
            <w:vAlign w:val="center"/>
            <w:hideMark/>
          </w:tcPr>
          <w:p w14:paraId="2FD390CD" w14:textId="77777777" w:rsidR="002A66D8" w:rsidRPr="002A66D8" w:rsidRDefault="002A66D8" w:rsidP="002A66D8">
            <w:pPr>
              <w:overflowPunct/>
              <w:autoSpaceDE/>
              <w:autoSpaceDN/>
              <w:adjustRightInd/>
              <w:ind w:firstLineChars="100" w:firstLine="201"/>
              <w:jc w:val="left"/>
              <w:textAlignment w:val="auto"/>
              <w:rPr>
                <w:rFonts w:cs="Arial"/>
                <w:b/>
                <w:bCs/>
                <w:color w:val="000000"/>
                <w:sz w:val="20"/>
              </w:rPr>
            </w:pPr>
            <w:r w:rsidRPr="002A66D8">
              <w:rPr>
                <w:rFonts w:cs="Arial"/>
                <w:b/>
                <w:bCs/>
                <w:color w:val="000000"/>
                <w:sz w:val="20"/>
              </w:rPr>
              <w:t xml:space="preserve">YHTEENSÄ </w:t>
            </w:r>
          </w:p>
        </w:tc>
        <w:tc>
          <w:tcPr>
            <w:tcW w:w="2042" w:type="dxa"/>
            <w:tcBorders>
              <w:top w:val="nil"/>
              <w:left w:val="nil"/>
              <w:bottom w:val="single" w:sz="8" w:space="0" w:color="auto"/>
              <w:right w:val="single" w:sz="8" w:space="0" w:color="auto"/>
            </w:tcBorders>
            <w:shd w:val="clear" w:color="000000" w:fill="E2EFDA"/>
            <w:noWrap/>
            <w:vAlign w:val="center"/>
            <w:hideMark/>
          </w:tcPr>
          <w:p w14:paraId="6266E755" w14:textId="77777777" w:rsidR="002A66D8" w:rsidRPr="002A66D8" w:rsidRDefault="002A66D8" w:rsidP="002A66D8">
            <w:pPr>
              <w:overflowPunct/>
              <w:autoSpaceDE/>
              <w:autoSpaceDN/>
              <w:adjustRightInd/>
              <w:ind w:firstLineChars="100" w:firstLine="200"/>
              <w:jc w:val="left"/>
              <w:textAlignment w:val="auto"/>
              <w:rPr>
                <w:rFonts w:cs="Arial"/>
                <w:color w:val="000000"/>
                <w:sz w:val="20"/>
              </w:rPr>
            </w:pPr>
            <w:r w:rsidRPr="002A66D8">
              <w:rPr>
                <w:rFonts w:cs="Arial"/>
                <w:color w:val="000000"/>
                <w:sz w:val="20"/>
              </w:rPr>
              <w:t> </w:t>
            </w:r>
          </w:p>
        </w:tc>
        <w:tc>
          <w:tcPr>
            <w:tcW w:w="1497" w:type="dxa"/>
            <w:tcBorders>
              <w:top w:val="nil"/>
              <w:left w:val="nil"/>
              <w:bottom w:val="single" w:sz="8" w:space="0" w:color="auto"/>
              <w:right w:val="single" w:sz="8" w:space="0" w:color="auto"/>
            </w:tcBorders>
            <w:shd w:val="clear" w:color="000000" w:fill="E2EFDA"/>
            <w:noWrap/>
            <w:vAlign w:val="center"/>
            <w:hideMark/>
          </w:tcPr>
          <w:p w14:paraId="20C58012"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343</w:t>
            </w:r>
          </w:p>
        </w:tc>
        <w:tc>
          <w:tcPr>
            <w:tcW w:w="1515" w:type="dxa"/>
            <w:tcBorders>
              <w:top w:val="nil"/>
              <w:left w:val="nil"/>
              <w:bottom w:val="single" w:sz="8" w:space="0" w:color="auto"/>
              <w:right w:val="single" w:sz="8" w:space="0" w:color="auto"/>
            </w:tcBorders>
            <w:shd w:val="clear" w:color="000000" w:fill="E2EFDA"/>
            <w:noWrap/>
            <w:vAlign w:val="center"/>
            <w:hideMark/>
          </w:tcPr>
          <w:p w14:paraId="53CF045C"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100 %</w:t>
            </w:r>
          </w:p>
        </w:tc>
        <w:tc>
          <w:tcPr>
            <w:tcW w:w="1984" w:type="dxa"/>
            <w:tcBorders>
              <w:top w:val="nil"/>
              <w:left w:val="nil"/>
              <w:bottom w:val="single" w:sz="8" w:space="0" w:color="auto"/>
              <w:right w:val="single" w:sz="8" w:space="0" w:color="auto"/>
            </w:tcBorders>
            <w:shd w:val="clear" w:color="000000" w:fill="E2EFDA"/>
            <w:noWrap/>
            <w:vAlign w:val="center"/>
            <w:hideMark/>
          </w:tcPr>
          <w:p w14:paraId="47E724BF" w14:textId="77777777" w:rsidR="002A66D8" w:rsidRPr="002A66D8" w:rsidRDefault="002A66D8" w:rsidP="002A66D8">
            <w:pPr>
              <w:overflowPunct/>
              <w:autoSpaceDE/>
              <w:autoSpaceDN/>
              <w:adjustRightInd/>
              <w:jc w:val="center"/>
              <w:textAlignment w:val="auto"/>
              <w:rPr>
                <w:rFonts w:cs="Arial"/>
                <w:color w:val="000000"/>
                <w:sz w:val="20"/>
              </w:rPr>
            </w:pPr>
            <w:r w:rsidRPr="002A66D8">
              <w:rPr>
                <w:rFonts w:cs="Arial"/>
                <w:color w:val="000000"/>
                <w:sz w:val="20"/>
              </w:rPr>
              <w:t>100 %</w:t>
            </w:r>
          </w:p>
        </w:tc>
      </w:tr>
    </w:tbl>
    <w:p w14:paraId="605A9B2A" w14:textId="70C4A083" w:rsidR="00553C69" w:rsidRPr="00553C69" w:rsidRDefault="00553C69" w:rsidP="00553C69">
      <w:pPr>
        <w:rPr>
          <w:rFonts w:eastAsia="Arial" w:cs="Arial"/>
          <w:sz w:val="16"/>
          <w:szCs w:val="16"/>
        </w:rPr>
      </w:pPr>
      <w:r>
        <w:rPr>
          <w:rFonts w:eastAsia="Arial" w:cs="Arial"/>
          <w:sz w:val="16"/>
          <w:szCs w:val="16"/>
        </w:rPr>
        <w:t>*</w:t>
      </w:r>
      <w:r w:rsidR="00996F4E">
        <w:rPr>
          <w:rFonts w:eastAsia="Arial" w:cs="Arial"/>
          <w:sz w:val="16"/>
          <w:szCs w:val="16"/>
        </w:rPr>
        <w:t xml:space="preserve"> </w:t>
      </w:r>
      <w:r w:rsidRPr="00553C69">
        <w:rPr>
          <w:rFonts w:eastAsia="Arial" w:cs="Arial"/>
          <w:sz w:val="16"/>
          <w:szCs w:val="16"/>
        </w:rPr>
        <w:t xml:space="preserve">Kaikille muutoskohteille on </w:t>
      </w:r>
      <w:r w:rsidR="00E12154">
        <w:rPr>
          <w:rFonts w:eastAsia="Arial" w:cs="Arial"/>
          <w:sz w:val="16"/>
          <w:szCs w:val="16"/>
        </w:rPr>
        <w:t>kohdist</w:t>
      </w:r>
      <w:r w:rsidRPr="00553C69">
        <w:rPr>
          <w:rFonts w:eastAsia="Arial" w:cs="Arial"/>
          <w:sz w:val="16"/>
          <w:szCs w:val="16"/>
        </w:rPr>
        <w:t xml:space="preserve">ettu </w:t>
      </w:r>
      <w:r w:rsidR="00E12154">
        <w:rPr>
          <w:rFonts w:eastAsia="Arial" w:cs="Arial"/>
          <w:sz w:val="16"/>
          <w:szCs w:val="16"/>
        </w:rPr>
        <w:t>rahoitusta ja</w:t>
      </w:r>
      <w:r w:rsidRPr="00553C69">
        <w:rPr>
          <w:rFonts w:eastAsia="Arial" w:cs="Arial"/>
          <w:sz w:val="16"/>
          <w:szCs w:val="16"/>
        </w:rPr>
        <w:t xml:space="preserve"> henkilöresursseja,</w:t>
      </w:r>
      <w:r w:rsidR="00E12154">
        <w:rPr>
          <w:rFonts w:eastAsia="Arial" w:cs="Arial"/>
          <w:sz w:val="16"/>
          <w:szCs w:val="16"/>
        </w:rPr>
        <w:t xml:space="preserve"> vaikka</w:t>
      </w:r>
      <w:r w:rsidRPr="00553C69">
        <w:rPr>
          <w:rFonts w:eastAsia="Arial" w:cs="Arial"/>
          <w:sz w:val="16"/>
          <w:szCs w:val="16"/>
        </w:rPr>
        <w:t xml:space="preserve"> pienimmät osuudet ovat pyöristyneet nollaksi.</w:t>
      </w:r>
    </w:p>
    <w:p w14:paraId="3C758DD5" w14:textId="6CDD2A6C" w:rsidR="002A66D8" w:rsidRPr="00130F3C" w:rsidRDefault="008B26E5" w:rsidP="000970EC">
      <w:pPr>
        <w:rPr>
          <w:rFonts w:eastAsia="Arial" w:cs="Arial"/>
          <w:sz w:val="16"/>
          <w:szCs w:val="16"/>
        </w:rPr>
      </w:pPr>
      <w:r w:rsidRPr="008B26E5">
        <w:rPr>
          <w:rFonts w:eastAsia="Arial" w:cs="Arial"/>
          <w:sz w:val="16"/>
          <w:szCs w:val="16"/>
        </w:rPr>
        <w:t>*</w:t>
      </w:r>
      <w:r w:rsidR="00553C69">
        <w:rPr>
          <w:rFonts w:eastAsia="Arial" w:cs="Arial"/>
          <w:sz w:val="16"/>
          <w:szCs w:val="16"/>
        </w:rPr>
        <w:t>*</w:t>
      </w:r>
      <w:r w:rsidRPr="008B26E5">
        <w:rPr>
          <w:rFonts w:eastAsia="Arial" w:cs="Arial"/>
          <w:sz w:val="16"/>
          <w:szCs w:val="16"/>
        </w:rPr>
        <w:t xml:space="preserve"> Sisältää pakolliset lainsäädäntömuutokset</w:t>
      </w:r>
      <w:r w:rsidR="0087380B">
        <w:rPr>
          <w:rFonts w:eastAsia="Arial" w:cs="Arial"/>
          <w:sz w:val="16"/>
          <w:szCs w:val="16"/>
        </w:rPr>
        <w:t xml:space="preserve">, </w:t>
      </w:r>
      <w:r w:rsidR="00130F3C" w:rsidRPr="00130F3C">
        <w:rPr>
          <w:rFonts w:eastAsia="Arial" w:cs="Arial"/>
          <w:sz w:val="16"/>
          <w:szCs w:val="16"/>
        </w:rPr>
        <w:t>**</w:t>
      </w:r>
      <w:r w:rsidR="00553C69">
        <w:rPr>
          <w:rFonts w:eastAsia="Arial" w:cs="Arial"/>
          <w:sz w:val="16"/>
          <w:szCs w:val="16"/>
        </w:rPr>
        <w:t>*</w:t>
      </w:r>
      <w:r w:rsidR="00130F3C" w:rsidRPr="00130F3C">
        <w:rPr>
          <w:rFonts w:eastAsia="Arial" w:cs="Arial"/>
          <w:sz w:val="16"/>
          <w:szCs w:val="16"/>
        </w:rPr>
        <w:t xml:space="preserve"> Toiminnan kehittämiseen liittyviä muutoskohteita</w:t>
      </w:r>
    </w:p>
    <w:p w14:paraId="3307B747" w14:textId="77777777" w:rsidR="00683862" w:rsidRDefault="00683862" w:rsidP="00683862">
      <w:pPr>
        <w:rPr>
          <w:b/>
          <w:bCs/>
          <w:sz w:val="24"/>
          <w:szCs w:val="22"/>
        </w:rPr>
      </w:pPr>
    </w:p>
    <w:p w14:paraId="4A0EF197" w14:textId="0CC58ACA" w:rsidR="00683862" w:rsidRDefault="008250F7" w:rsidP="00683862">
      <w:r>
        <w:t>Verohallinto tavoittelee kehittämistoimenpiteillä</w:t>
      </w:r>
      <w:r w:rsidR="00683862">
        <w:t xml:space="preserve"> </w:t>
      </w:r>
      <w:r w:rsidR="00A86AB2">
        <w:t xml:space="preserve">toimintavarmuuden turvaamisen ja </w:t>
      </w:r>
      <w:r w:rsidR="00852F1C">
        <w:t xml:space="preserve">ydintoiminnan tehokkuuden lisäksi </w:t>
      </w:r>
      <w:r w:rsidR="00444997">
        <w:t xml:space="preserve">verotuksen vaikuttavuutta ja laatua, </w:t>
      </w:r>
      <w:r w:rsidR="00683862">
        <w:t>asioinnin helppoutta, palveluiden sa</w:t>
      </w:r>
      <w:r w:rsidR="007A6260">
        <w:t>a</w:t>
      </w:r>
      <w:r w:rsidR="00683862">
        <w:t xml:space="preserve">vutettavuutta, asiakastyytyväisyyttä </w:t>
      </w:r>
      <w:r w:rsidR="00444997">
        <w:t>ja</w:t>
      </w:r>
      <w:r w:rsidR="00683862">
        <w:t xml:space="preserve"> veromyönteisyyttä</w:t>
      </w:r>
      <w:r w:rsidR="00444997">
        <w:t xml:space="preserve"> sekä </w:t>
      </w:r>
      <w:r w:rsidR="00563DE3">
        <w:t>hyvää</w:t>
      </w:r>
      <w:r w:rsidR="00444997">
        <w:t xml:space="preserve"> työntekijäkokemusta</w:t>
      </w:r>
      <w:r w:rsidR="00683862">
        <w:t>. Pidemmän tähtäimen tavoitteena on vähentää asiointitarvetta, kun verotus sulautuu osaksi asiakkaiden toimintaa.</w:t>
      </w:r>
    </w:p>
    <w:p w14:paraId="3A5713AF" w14:textId="6DAA6D31" w:rsidR="00683862" w:rsidRDefault="00683862" w:rsidP="00683862">
      <w:pPr>
        <w:pStyle w:val="Otsikko2"/>
      </w:pPr>
      <w:bookmarkStart w:id="10" w:name="_Toc116560490"/>
      <w:r>
        <w:lastRenderedPageBreak/>
        <w:t xml:space="preserve">Pakolliset </w:t>
      </w:r>
      <w:r w:rsidR="007C3824">
        <w:t xml:space="preserve">ulkoa tulevat </w:t>
      </w:r>
      <w:r>
        <w:t>muutokset</w:t>
      </w:r>
      <w:bookmarkEnd w:id="10"/>
    </w:p>
    <w:p w14:paraId="399AF4A5" w14:textId="594FE120" w:rsidR="00683862" w:rsidRPr="00010234" w:rsidRDefault="00683862" w:rsidP="00010234">
      <w:r w:rsidRPr="00010234">
        <w:t xml:space="preserve">Suunnittelukaudelle ajoittuvat ulkoa tulevat pakolliset muutokset, kuten lainsäädäntömuutokset, toteutetaan lain mukaisesti suunnitellussa aikataulussa ja ne priorisoidaan muiden kehittämisten edelle. Verohallinnon kehityssuunnitelmia päivitetään rullaavasti, sillä uusia pakollisia muutoksia tulee vuosittain ja joidenkin muutosten valmistelu saatetaan lopettaa tai keskeyttää kesken valmistelun erilaisista syistä johtuen. </w:t>
      </w:r>
    </w:p>
    <w:p w14:paraId="08A83024" w14:textId="77777777" w:rsidR="00683862" w:rsidRPr="00010234" w:rsidRDefault="00683862" w:rsidP="00010234"/>
    <w:p w14:paraId="374B9285" w14:textId="28233C83" w:rsidR="00683862" w:rsidRPr="00010234" w:rsidRDefault="00683862" w:rsidP="00010234">
      <w:r w:rsidRPr="00010234">
        <w:t>Tällä hetkellä (</w:t>
      </w:r>
      <w:r w:rsidR="008F397A" w:rsidRPr="00010234">
        <w:t>loka</w:t>
      </w:r>
      <w:r w:rsidRPr="00010234">
        <w:t xml:space="preserve">kuu 2022) suunnittelukaudelle </w:t>
      </w:r>
      <w:r w:rsidR="00985ACB" w:rsidRPr="00010234">
        <w:t>2023–2027</w:t>
      </w:r>
      <w:r w:rsidRPr="00010234">
        <w:t xml:space="preserve"> </w:t>
      </w:r>
      <w:r w:rsidRPr="009523B9">
        <w:rPr>
          <w:i/>
          <w:iCs/>
        </w:rPr>
        <w:t>tiedossa olevat, työmäärältään ja/ tai vaikutuksiltaan merkittävimmät</w:t>
      </w:r>
      <w:r w:rsidRPr="00010234">
        <w:t xml:space="preserve"> lainsäädäntöhankkeet on lueteltu alla. Vuonna 2023 hallituksen vaihtuminen tuonee muutoksia tähän listaan.</w:t>
      </w:r>
    </w:p>
    <w:p w14:paraId="6940D00E" w14:textId="77777777" w:rsidR="00683862" w:rsidRDefault="00683862" w:rsidP="00683862"/>
    <w:tbl>
      <w:tblPr>
        <w:tblW w:w="10028" w:type="dxa"/>
        <w:jc w:val="center"/>
        <w:tblCellMar>
          <w:left w:w="70" w:type="dxa"/>
          <w:right w:w="70" w:type="dxa"/>
        </w:tblCellMar>
        <w:tblLook w:val="04A0" w:firstRow="1" w:lastRow="0" w:firstColumn="1" w:lastColumn="0" w:noHBand="0" w:noVBand="1"/>
      </w:tblPr>
      <w:tblGrid>
        <w:gridCol w:w="8212"/>
        <w:gridCol w:w="1816"/>
      </w:tblGrid>
      <w:tr w:rsidR="00683862" w:rsidRPr="0095355C" w14:paraId="433FD0C7" w14:textId="77777777" w:rsidTr="00A504F1">
        <w:trPr>
          <w:trHeight w:val="234"/>
          <w:tblHeader/>
          <w:jc w:val="center"/>
        </w:trPr>
        <w:tc>
          <w:tcPr>
            <w:tcW w:w="8212" w:type="dxa"/>
            <w:tcBorders>
              <w:top w:val="single" w:sz="8" w:space="0" w:color="FFFFFF" w:themeColor="accent3"/>
              <w:left w:val="single" w:sz="8" w:space="0" w:color="FFFFFF" w:themeColor="accent3"/>
              <w:bottom w:val="single" w:sz="4" w:space="0" w:color="000000" w:themeColor="accent4"/>
              <w:right w:val="nil"/>
            </w:tcBorders>
            <w:shd w:val="clear" w:color="auto" w:fill="548235"/>
            <w:vAlign w:val="center"/>
            <w:hideMark/>
          </w:tcPr>
          <w:p w14:paraId="767A9DD2" w14:textId="3633256B" w:rsidR="00683862" w:rsidRPr="00974B19" w:rsidRDefault="00683862" w:rsidP="002100F0">
            <w:pPr>
              <w:rPr>
                <w:rFonts w:cs="Arial"/>
                <w:b/>
                <w:bCs/>
                <w:color w:val="FFFFFF"/>
                <w:szCs w:val="22"/>
              </w:rPr>
            </w:pPr>
            <w:r>
              <w:rPr>
                <w:rFonts w:cs="Arial"/>
                <w:b/>
                <w:bCs/>
                <w:color w:val="FFFFFF"/>
                <w:szCs w:val="22"/>
              </w:rPr>
              <w:t>PAKOL</w:t>
            </w:r>
            <w:r w:rsidR="00F41E5E">
              <w:rPr>
                <w:rFonts w:cs="Arial"/>
                <w:b/>
                <w:bCs/>
                <w:color w:val="FFFFFF"/>
                <w:szCs w:val="22"/>
              </w:rPr>
              <w:t>L</w:t>
            </w:r>
            <w:r>
              <w:rPr>
                <w:rFonts w:cs="Arial"/>
                <w:b/>
                <w:bCs/>
                <w:color w:val="FFFFFF"/>
                <w:szCs w:val="22"/>
              </w:rPr>
              <w:t>ISET MUUTOKSET</w:t>
            </w:r>
          </w:p>
        </w:tc>
        <w:tc>
          <w:tcPr>
            <w:tcW w:w="1816" w:type="dxa"/>
            <w:tcBorders>
              <w:top w:val="single" w:sz="8" w:space="0" w:color="FFFFFF" w:themeColor="accent3"/>
              <w:left w:val="single" w:sz="8" w:space="0" w:color="FFFFFF" w:themeColor="accent3"/>
              <w:bottom w:val="single" w:sz="12" w:space="0" w:color="4A7B4A" w:themeColor="accent5" w:themeShade="BF"/>
              <w:right w:val="nil"/>
            </w:tcBorders>
            <w:shd w:val="clear" w:color="auto" w:fill="548235"/>
            <w:vAlign w:val="center"/>
            <w:hideMark/>
          </w:tcPr>
          <w:p w14:paraId="59058157" w14:textId="77777777" w:rsidR="00683862" w:rsidRPr="00974B19" w:rsidRDefault="00683862" w:rsidP="002100F0">
            <w:pPr>
              <w:rPr>
                <w:rFonts w:cs="Arial"/>
                <w:b/>
                <w:bCs/>
                <w:color w:val="FFFFFF"/>
                <w:szCs w:val="22"/>
              </w:rPr>
            </w:pPr>
            <w:r w:rsidRPr="00974B19">
              <w:rPr>
                <w:rFonts w:cs="Arial"/>
                <w:b/>
                <w:bCs/>
                <w:color w:val="FFFFFF"/>
                <w:szCs w:val="22"/>
              </w:rPr>
              <w:t>AJANKOHTA</w:t>
            </w:r>
          </w:p>
        </w:tc>
      </w:tr>
      <w:tr w:rsidR="00683862" w:rsidRPr="005C019E" w14:paraId="39B75A08" w14:textId="77777777" w:rsidTr="00F507B0">
        <w:trPr>
          <w:trHeight w:val="545"/>
          <w:jc w:val="center"/>
        </w:trPr>
        <w:tc>
          <w:tcPr>
            <w:tcW w:w="8212" w:type="dxa"/>
            <w:tcBorders>
              <w:top w:val="single" w:sz="4" w:space="0" w:color="000000" w:themeColor="accent4"/>
              <w:left w:val="single" w:sz="4" w:space="0" w:color="000000" w:themeColor="accent4"/>
              <w:bottom w:val="single" w:sz="12" w:space="0" w:color="006600" w:themeColor="accent1"/>
              <w:right w:val="single" w:sz="12" w:space="0" w:color="4A7B4A" w:themeColor="accent5" w:themeShade="BF"/>
            </w:tcBorders>
            <w:shd w:val="clear" w:color="auto" w:fill="C2DAC2"/>
          </w:tcPr>
          <w:p w14:paraId="7A9ACE18" w14:textId="77777777" w:rsidR="00683862" w:rsidRDefault="00683862" w:rsidP="002100F0">
            <w:pPr>
              <w:rPr>
                <w:rFonts w:cs="Arial"/>
                <w:b/>
                <w:bCs/>
                <w:color w:val="000000"/>
                <w:szCs w:val="22"/>
              </w:rPr>
            </w:pPr>
            <w:r w:rsidRPr="00527EC2">
              <w:rPr>
                <w:rFonts w:cs="Arial"/>
                <w:b/>
                <w:bCs/>
                <w:color w:val="000000"/>
                <w:szCs w:val="22"/>
              </w:rPr>
              <w:t xml:space="preserve">1. </w:t>
            </w:r>
            <w:r w:rsidRPr="00974B19">
              <w:rPr>
                <w:rFonts w:cs="Arial"/>
                <w:b/>
                <w:bCs/>
                <w:color w:val="000000"/>
                <w:szCs w:val="22"/>
              </w:rPr>
              <w:t>Positiivinen luottotietorekisteri</w:t>
            </w:r>
          </w:p>
          <w:p w14:paraId="1843E231" w14:textId="7B7802D8" w:rsidR="006A56A1" w:rsidRDefault="00D628A9" w:rsidP="00DF1B1C">
            <w:pPr>
              <w:numPr>
                <w:ilvl w:val="0"/>
                <w:numId w:val="5"/>
              </w:numPr>
              <w:ind w:left="454" w:hanging="284"/>
              <w:jc w:val="left"/>
              <w:rPr>
                <w:rFonts w:cs="Arial"/>
                <w:color w:val="000000" w:themeColor="accent4"/>
              </w:rPr>
            </w:pPr>
            <w:r>
              <w:rPr>
                <w:rFonts w:cs="Arial"/>
                <w:color w:val="000000" w:themeColor="accent4"/>
              </w:rPr>
              <w:t>S</w:t>
            </w:r>
            <w:r w:rsidRPr="00D628A9">
              <w:rPr>
                <w:rFonts w:cs="Arial"/>
                <w:color w:val="000000" w:themeColor="accent4"/>
              </w:rPr>
              <w:t>uunnitella</w:t>
            </w:r>
            <w:r>
              <w:rPr>
                <w:rFonts w:cs="Arial"/>
                <w:color w:val="000000" w:themeColor="accent4"/>
              </w:rPr>
              <w:t>an</w:t>
            </w:r>
            <w:r w:rsidRPr="00D628A9">
              <w:rPr>
                <w:rFonts w:cs="Arial"/>
                <w:color w:val="000000" w:themeColor="accent4"/>
              </w:rPr>
              <w:t>, toteut</w:t>
            </w:r>
            <w:r w:rsidR="006A56A1">
              <w:rPr>
                <w:rFonts w:cs="Arial"/>
                <w:color w:val="000000" w:themeColor="accent4"/>
              </w:rPr>
              <w:t>etaan</w:t>
            </w:r>
            <w:r w:rsidRPr="00D628A9">
              <w:rPr>
                <w:rFonts w:cs="Arial"/>
                <w:color w:val="000000" w:themeColor="accent4"/>
              </w:rPr>
              <w:t xml:space="preserve"> ja ot</w:t>
            </w:r>
            <w:r w:rsidR="006A56A1">
              <w:rPr>
                <w:rFonts w:cs="Arial"/>
                <w:color w:val="000000" w:themeColor="accent4"/>
              </w:rPr>
              <w:t>etaan</w:t>
            </w:r>
            <w:r w:rsidRPr="00D628A9">
              <w:rPr>
                <w:rFonts w:cs="Arial"/>
                <w:color w:val="000000" w:themeColor="accent4"/>
              </w:rPr>
              <w:t xml:space="preserve"> </w:t>
            </w:r>
            <w:r w:rsidR="00DB2C9E">
              <w:rPr>
                <w:rFonts w:cs="Arial"/>
                <w:color w:val="000000" w:themeColor="accent4"/>
              </w:rPr>
              <w:t xml:space="preserve">käyttöön </w:t>
            </w:r>
            <w:r w:rsidRPr="00D628A9">
              <w:rPr>
                <w:rFonts w:cs="Arial"/>
                <w:color w:val="000000" w:themeColor="accent4"/>
              </w:rPr>
              <w:t xml:space="preserve">keskitetty positiivisten luottotietojen rekisteri. </w:t>
            </w:r>
          </w:p>
          <w:p w14:paraId="02394AE6" w14:textId="2B7CE975" w:rsidR="007B3B9E" w:rsidRPr="00D628A9" w:rsidRDefault="00D628A9" w:rsidP="00DF1B1C">
            <w:pPr>
              <w:numPr>
                <w:ilvl w:val="0"/>
                <w:numId w:val="5"/>
              </w:numPr>
              <w:ind w:left="454" w:hanging="284"/>
              <w:jc w:val="left"/>
              <w:rPr>
                <w:rFonts w:cs="Arial"/>
                <w:b/>
                <w:bCs/>
                <w:color w:val="000000"/>
                <w:szCs w:val="22"/>
              </w:rPr>
            </w:pPr>
            <w:r w:rsidRPr="00D628A9">
              <w:rPr>
                <w:rFonts w:cs="Arial"/>
                <w:color w:val="000000" w:themeColor="accent4"/>
              </w:rPr>
              <w:t xml:space="preserve">Rekisterin perustaminen on yksi hallitusohjelman </w:t>
            </w:r>
            <w:r w:rsidR="00A02597">
              <w:rPr>
                <w:rFonts w:cs="Arial"/>
                <w:color w:val="000000" w:themeColor="accent4"/>
              </w:rPr>
              <w:t xml:space="preserve">kansalaisten </w:t>
            </w:r>
            <w:r w:rsidRPr="00D628A9">
              <w:rPr>
                <w:rFonts w:cs="Arial"/>
                <w:color w:val="000000" w:themeColor="accent4"/>
              </w:rPr>
              <w:t>ylivelkaantumisen torjuntaan tähtäävistä hankkeista.</w:t>
            </w:r>
            <w:r w:rsidRPr="00D628A9">
              <w:rPr>
                <w:rFonts w:cs="Arial"/>
                <w:b/>
                <w:bCs/>
                <w:color w:val="000000"/>
                <w:szCs w:val="22"/>
              </w:rPr>
              <w:t xml:space="preserve"> </w:t>
            </w:r>
          </w:p>
        </w:tc>
        <w:tc>
          <w:tcPr>
            <w:tcW w:w="1816"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6AFAFC8B" w14:textId="1A069F93" w:rsidR="00683862" w:rsidRPr="005C019E" w:rsidRDefault="00985ACB" w:rsidP="002100F0">
            <w:pPr>
              <w:jc w:val="center"/>
              <w:rPr>
                <w:rFonts w:cs="Arial"/>
                <w:b/>
                <w:bCs/>
                <w:color w:val="000000"/>
                <w:szCs w:val="22"/>
              </w:rPr>
            </w:pPr>
            <w:r w:rsidRPr="005C019E">
              <w:rPr>
                <w:rFonts w:cs="Arial"/>
                <w:b/>
                <w:bCs/>
                <w:color w:val="000000"/>
                <w:szCs w:val="22"/>
              </w:rPr>
              <w:t>2021–202</w:t>
            </w:r>
            <w:r w:rsidR="00A02597">
              <w:rPr>
                <w:rFonts w:cs="Arial"/>
                <w:b/>
                <w:bCs/>
                <w:color w:val="000000"/>
                <w:szCs w:val="22"/>
              </w:rPr>
              <w:t>6</w:t>
            </w:r>
          </w:p>
        </w:tc>
      </w:tr>
      <w:tr w:rsidR="00683862" w:rsidRPr="005C019E" w14:paraId="15C0C563" w14:textId="77777777" w:rsidTr="00F507B0">
        <w:trPr>
          <w:trHeight w:val="660"/>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71C3C9B2" w14:textId="1755C8D3" w:rsidR="00683862" w:rsidRPr="00974B19" w:rsidRDefault="00183C2F" w:rsidP="002100F0">
            <w:pPr>
              <w:rPr>
                <w:rFonts w:cs="Arial"/>
                <w:b/>
                <w:bCs/>
                <w:color w:val="000000"/>
                <w:szCs w:val="22"/>
              </w:rPr>
            </w:pPr>
            <w:r>
              <w:rPr>
                <w:rFonts w:cs="Arial"/>
                <w:b/>
                <w:bCs/>
                <w:color w:val="000000"/>
                <w:szCs w:val="22"/>
              </w:rPr>
              <w:t>2</w:t>
            </w:r>
            <w:r w:rsidR="00683862" w:rsidRPr="00974B19">
              <w:rPr>
                <w:rFonts w:cs="Arial"/>
                <w:b/>
                <w:bCs/>
                <w:color w:val="000000"/>
                <w:szCs w:val="22"/>
              </w:rPr>
              <w:t>.</w:t>
            </w:r>
            <w:r w:rsidR="00B0788E">
              <w:rPr>
                <w:rFonts w:cs="Arial"/>
                <w:b/>
                <w:bCs/>
                <w:color w:val="000000"/>
                <w:szCs w:val="22"/>
              </w:rPr>
              <w:t xml:space="preserve"> </w:t>
            </w:r>
            <w:r w:rsidR="00683862" w:rsidRPr="00974B19">
              <w:rPr>
                <w:rFonts w:cs="Arial"/>
                <w:b/>
                <w:bCs/>
                <w:color w:val="000000"/>
                <w:szCs w:val="22"/>
              </w:rPr>
              <w:t>Verotustietojen julkisuuden laajentaminen</w:t>
            </w:r>
          </w:p>
          <w:p w14:paraId="7F1D9B29" w14:textId="77777777" w:rsidR="00683862" w:rsidRPr="009E4BA2" w:rsidRDefault="00683862" w:rsidP="00DF1B1C">
            <w:pPr>
              <w:numPr>
                <w:ilvl w:val="0"/>
                <w:numId w:val="5"/>
              </w:numPr>
              <w:ind w:left="454" w:hanging="284"/>
              <w:jc w:val="left"/>
              <w:rPr>
                <w:rFonts w:cs="Arial"/>
                <w:color w:val="000000" w:themeColor="accent4"/>
              </w:rPr>
            </w:pPr>
            <w:r w:rsidRPr="28BAEAC5">
              <w:rPr>
                <w:rFonts w:cs="Arial"/>
                <w:color w:val="000000" w:themeColor="accent4"/>
              </w:rPr>
              <w:t>Harmaan talouden ohjelma</w:t>
            </w:r>
            <w:r>
              <w:rPr>
                <w:rFonts w:cs="Arial"/>
                <w:color w:val="000000" w:themeColor="accent4"/>
              </w:rPr>
              <w:t>: tulo- ja kiinteistö</w:t>
            </w:r>
            <w:r w:rsidRPr="28BAEAC5">
              <w:rPr>
                <w:rFonts w:cs="Arial"/>
                <w:color w:val="000000" w:themeColor="accent4"/>
              </w:rPr>
              <w:t xml:space="preserve">verotuksen oikaisutietojen julkaiseminen </w:t>
            </w:r>
          </w:p>
        </w:tc>
        <w:tc>
          <w:tcPr>
            <w:tcW w:w="1816"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2DD66A82" w14:textId="704C3CBD" w:rsidR="00683862" w:rsidRPr="005C019E" w:rsidRDefault="00985ACB" w:rsidP="002100F0">
            <w:pPr>
              <w:jc w:val="center"/>
              <w:rPr>
                <w:rFonts w:cs="Arial"/>
                <w:color w:val="000000"/>
                <w:szCs w:val="22"/>
              </w:rPr>
            </w:pPr>
            <w:r w:rsidRPr="005C019E">
              <w:rPr>
                <w:rFonts w:cs="Arial"/>
                <w:b/>
                <w:bCs/>
                <w:color w:val="000000"/>
                <w:szCs w:val="22"/>
              </w:rPr>
              <w:t>202</w:t>
            </w:r>
            <w:r>
              <w:rPr>
                <w:rFonts w:cs="Arial"/>
                <w:b/>
                <w:bCs/>
                <w:color w:val="000000"/>
                <w:szCs w:val="22"/>
              </w:rPr>
              <w:t>2</w:t>
            </w:r>
            <w:r w:rsidRPr="005C019E">
              <w:rPr>
                <w:rFonts w:cs="Arial"/>
                <w:b/>
                <w:bCs/>
                <w:color w:val="000000"/>
                <w:szCs w:val="22"/>
              </w:rPr>
              <w:t>–2024</w:t>
            </w:r>
          </w:p>
        </w:tc>
      </w:tr>
      <w:tr w:rsidR="00683862" w:rsidRPr="005C019E" w14:paraId="5FA52F7E" w14:textId="77777777" w:rsidTr="00F507B0">
        <w:trPr>
          <w:trHeight w:val="947"/>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1F61175F" w14:textId="04B9779C" w:rsidR="00683862" w:rsidRDefault="00183C2F" w:rsidP="002100F0">
            <w:pPr>
              <w:rPr>
                <w:rFonts w:cs="Arial"/>
                <w:b/>
                <w:bCs/>
                <w:color w:val="000000"/>
                <w:szCs w:val="22"/>
              </w:rPr>
            </w:pPr>
            <w:r>
              <w:rPr>
                <w:rFonts w:cs="Arial"/>
                <w:b/>
                <w:bCs/>
                <w:color w:val="000000"/>
                <w:szCs w:val="22"/>
              </w:rPr>
              <w:t>3</w:t>
            </w:r>
            <w:r w:rsidR="00683862" w:rsidRPr="00D123F9">
              <w:rPr>
                <w:rFonts w:cs="Arial"/>
                <w:b/>
                <w:bCs/>
                <w:color w:val="000000"/>
                <w:szCs w:val="22"/>
              </w:rPr>
              <w:t>.</w:t>
            </w:r>
            <w:r w:rsidR="00B0788E">
              <w:rPr>
                <w:rFonts w:cs="Arial"/>
                <w:b/>
                <w:bCs/>
                <w:color w:val="000000"/>
                <w:szCs w:val="22"/>
              </w:rPr>
              <w:t xml:space="preserve"> </w:t>
            </w:r>
            <w:r w:rsidR="00463A89">
              <w:rPr>
                <w:rFonts w:cs="Arial"/>
                <w:b/>
                <w:bCs/>
                <w:color w:val="000000"/>
                <w:szCs w:val="22"/>
              </w:rPr>
              <w:t>Kansallisen h</w:t>
            </w:r>
            <w:r w:rsidR="00683862">
              <w:rPr>
                <w:rFonts w:cs="Arial"/>
                <w:b/>
                <w:bCs/>
                <w:color w:val="000000"/>
                <w:szCs w:val="22"/>
              </w:rPr>
              <w:t>enkilötunnu</w:t>
            </w:r>
            <w:r w:rsidR="00463A89">
              <w:rPr>
                <w:rFonts w:cs="Arial"/>
                <w:b/>
                <w:bCs/>
                <w:color w:val="000000"/>
                <w:szCs w:val="22"/>
              </w:rPr>
              <w:t>suudistuksen muutosten käyttöönotot</w:t>
            </w:r>
            <w:r w:rsidR="00683862">
              <w:rPr>
                <w:rFonts w:cs="Arial"/>
                <w:b/>
                <w:bCs/>
                <w:color w:val="000000"/>
                <w:szCs w:val="22"/>
              </w:rPr>
              <w:t xml:space="preserve"> </w:t>
            </w:r>
          </w:p>
          <w:p w14:paraId="244DEBEA" w14:textId="639B2E97" w:rsidR="0098379A" w:rsidRPr="0098379A" w:rsidRDefault="000C783C" w:rsidP="00DF1B1C">
            <w:pPr>
              <w:numPr>
                <w:ilvl w:val="0"/>
                <w:numId w:val="5"/>
              </w:numPr>
              <w:ind w:left="454" w:hanging="284"/>
              <w:jc w:val="left"/>
              <w:rPr>
                <w:rFonts w:cs="Arial"/>
                <w:color w:val="000000" w:themeColor="accent4"/>
              </w:rPr>
            </w:pPr>
            <w:r>
              <w:rPr>
                <w:rFonts w:cs="Arial"/>
                <w:color w:val="000000" w:themeColor="accent4"/>
              </w:rPr>
              <w:t>H</w:t>
            </w:r>
            <w:r w:rsidR="0098379A" w:rsidRPr="0098379A">
              <w:rPr>
                <w:rFonts w:cs="Arial"/>
                <w:color w:val="000000" w:themeColor="accent4"/>
              </w:rPr>
              <w:t>enkilötunnu</w:t>
            </w:r>
            <w:r w:rsidR="0098379A">
              <w:rPr>
                <w:rFonts w:cs="Arial"/>
                <w:color w:val="000000" w:themeColor="accent4"/>
              </w:rPr>
              <w:t xml:space="preserve">ksissa otetaan käyttöön uusia </w:t>
            </w:r>
            <w:r w:rsidR="0098379A" w:rsidRPr="0098379A">
              <w:rPr>
                <w:rFonts w:cs="Arial"/>
                <w:color w:val="000000" w:themeColor="accent4"/>
              </w:rPr>
              <w:t>välimerk</w:t>
            </w:r>
            <w:r w:rsidR="0098379A">
              <w:rPr>
                <w:rFonts w:cs="Arial"/>
                <w:color w:val="000000" w:themeColor="accent4"/>
              </w:rPr>
              <w:t>kejä</w:t>
            </w:r>
            <w:r w:rsidR="0098379A" w:rsidRPr="0098379A">
              <w:rPr>
                <w:rFonts w:cs="Arial"/>
                <w:color w:val="000000" w:themeColor="accent4"/>
              </w:rPr>
              <w:t xml:space="preserve"> </w:t>
            </w:r>
          </w:p>
          <w:p w14:paraId="5C604127" w14:textId="3DDC4C1F" w:rsidR="0098379A" w:rsidRPr="0098379A" w:rsidRDefault="00DB2C9E" w:rsidP="00DF1B1C">
            <w:pPr>
              <w:numPr>
                <w:ilvl w:val="0"/>
                <w:numId w:val="5"/>
              </w:numPr>
              <w:ind w:left="454" w:hanging="284"/>
              <w:jc w:val="left"/>
              <w:rPr>
                <w:rFonts w:cs="Arial"/>
                <w:color w:val="000000" w:themeColor="accent4"/>
              </w:rPr>
            </w:pPr>
            <w:r>
              <w:rPr>
                <w:rFonts w:cs="Arial"/>
                <w:color w:val="000000" w:themeColor="accent4"/>
              </w:rPr>
              <w:t>N</w:t>
            </w:r>
            <w:r w:rsidR="0098379A" w:rsidRPr="0098379A">
              <w:rPr>
                <w:rFonts w:cs="Arial"/>
                <w:color w:val="000000" w:themeColor="accent4"/>
              </w:rPr>
              <w:t xml:space="preserve">ykyisen henkilötunnuksen rinnalle </w:t>
            </w:r>
            <w:r w:rsidR="0098379A">
              <w:rPr>
                <w:rFonts w:cs="Arial"/>
                <w:color w:val="000000" w:themeColor="accent4"/>
              </w:rPr>
              <w:t xml:space="preserve">tulee </w:t>
            </w:r>
            <w:r w:rsidR="0098379A" w:rsidRPr="0098379A">
              <w:rPr>
                <w:rFonts w:cs="Arial"/>
                <w:color w:val="000000" w:themeColor="accent4"/>
              </w:rPr>
              <w:t xml:space="preserve">uusi yksilöintitunnus ja käyttöön </w:t>
            </w:r>
            <w:r w:rsidR="0098379A">
              <w:rPr>
                <w:rFonts w:cs="Arial"/>
                <w:color w:val="000000" w:themeColor="accent4"/>
              </w:rPr>
              <w:t xml:space="preserve">otetaan </w:t>
            </w:r>
            <w:r w:rsidR="0098379A" w:rsidRPr="0098379A">
              <w:rPr>
                <w:rFonts w:cs="Arial"/>
                <w:color w:val="000000" w:themeColor="accent4"/>
              </w:rPr>
              <w:t>sukupuolineutraali henkilötunnus</w:t>
            </w:r>
          </w:p>
          <w:p w14:paraId="7DE68F04" w14:textId="7112005E" w:rsidR="00F35CE2" w:rsidRPr="006A56A1" w:rsidRDefault="00DB2C9E" w:rsidP="00DF1B1C">
            <w:pPr>
              <w:numPr>
                <w:ilvl w:val="0"/>
                <w:numId w:val="5"/>
              </w:numPr>
              <w:ind w:left="454" w:hanging="284"/>
              <w:jc w:val="left"/>
              <w:rPr>
                <w:rFonts w:cs="Arial"/>
                <w:color w:val="000000" w:themeColor="accent4"/>
              </w:rPr>
            </w:pPr>
            <w:r>
              <w:rPr>
                <w:rFonts w:cs="Arial"/>
                <w:color w:val="000000" w:themeColor="accent4"/>
              </w:rPr>
              <w:t>U</w:t>
            </w:r>
            <w:r w:rsidR="0098379A" w:rsidRPr="0098379A">
              <w:rPr>
                <w:rFonts w:cs="Arial"/>
                <w:color w:val="000000" w:themeColor="accent4"/>
              </w:rPr>
              <w:t xml:space="preserve">usi etärekisteröinti -menettely </w:t>
            </w:r>
            <w:r w:rsidR="0098379A">
              <w:rPr>
                <w:rFonts w:cs="Arial"/>
                <w:color w:val="000000" w:themeColor="accent4"/>
              </w:rPr>
              <w:t xml:space="preserve">käyttöön </w:t>
            </w:r>
            <w:r w:rsidR="0098379A" w:rsidRPr="0098379A">
              <w:rPr>
                <w:rFonts w:cs="Arial"/>
                <w:color w:val="000000" w:themeColor="accent4"/>
              </w:rPr>
              <w:t>ulkomaalaisille henkilöille</w:t>
            </w:r>
          </w:p>
          <w:p w14:paraId="6ACA5806" w14:textId="09297A1A" w:rsidR="00683862" w:rsidRPr="00EF3575" w:rsidRDefault="00DB2C9E" w:rsidP="00DF1B1C">
            <w:pPr>
              <w:numPr>
                <w:ilvl w:val="0"/>
                <w:numId w:val="5"/>
              </w:numPr>
              <w:ind w:left="454" w:hanging="284"/>
              <w:jc w:val="left"/>
              <w:rPr>
                <w:rFonts w:cs="Arial"/>
                <w:color w:val="000000"/>
              </w:rPr>
            </w:pPr>
            <w:r>
              <w:rPr>
                <w:rFonts w:cs="Arial"/>
                <w:color w:val="000000" w:themeColor="accent4"/>
              </w:rPr>
              <w:t>H</w:t>
            </w:r>
            <w:r w:rsidR="0098379A" w:rsidRPr="0098379A">
              <w:rPr>
                <w:rFonts w:cs="Arial"/>
                <w:color w:val="000000" w:themeColor="accent4"/>
              </w:rPr>
              <w:t>alli</w:t>
            </w:r>
            <w:r w:rsidR="008A3B0F">
              <w:rPr>
                <w:rFonts w:cs="Arial"/>
                <w:color w:val="000000" w:themeColor="accent4"/>
              </w:rPr>
              <w:t>nnan parantaminen</w:t>
            </w:r>
            <w:r w:rsidR="0098379A" w:rsidRPr="0098379A">
              <w:rPr>
                <w:rFonts w:cs="Arial"/>
                <w:color w:val="000000" w:themeColor="accent4"/>
              </w:rPr>
              <w:t xml:space="preserve"> nii</w:t>
            </w:r>
            <w:r w:rsidR="008A3B0F">
              <w:rPr>
                <w:rFonts w:cs="Arial"/>
                <w:color w:val="000000" w:themeColor="accent4"/>
              </w:rPr>
              <w:t>den riskien osalta,</w:t>
            </w:r>
            <w:r w:rsidR="0098379A" w:rsidRPr="0098379A">
              <w:rPr>
                <w:rFonts w:cs="Arial"/>
                <w:color w:val="000000" w:themeColor="accent4"/>
              </w:rPr>
              <w:t xml:space="preserve"> joita rekisteröintimenettely aiheuttaa nyt ja mahdollisissa muutoksissa</w:t>
            </w:r>
          </w:p>
        </w:tc>
        <w:tc>
          <w:tcPr>
            <w:tcW w:w="1816"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6F9FC714" w14:textId="17A84371" w:rsidR="00683862" w:rsidRPr="005C019E" w:rsidRDefault="004D46F9" w:rsidP="002100F0">
            <w:pPr>
              <w:jc w:val="center"/>
              <w:rPr>
                <w:rFonts w:cs="Arial"/>
                <w:b/>
                <w:bCs/>
                <w:color w:val="000000"/>
                <w:szCs w:val="22"/>
              </w:rPr>
            </w:pPr>
            <w:r w:rsidRPr="00D123F9">
              <w:rPr>
                <w:rFonts w:cs="Arial"/>
                <w:b/>
                <w:bCs/>
                <w:color w:val="000000"/>
                <w:szCs w:val="22"/>
              </w:rPr>
              <w:t>202</w:t>
            </w:r>
            <w:r>
              <w:rPr>
                <w:rFonts w:cs="Arial"/>
                <w:b/>
                <w:bCs/>
                <w:color w:val="000000"/>
                <w:szCs w:val="22"/>
              </w:rPr>
              <w:t>2–2026</w:t>
            </w:r>
          </w:p>
        </w:tc>
      </w:tr>
      <w:tr w:rsidR="00683862" w:rsidRPr="00BF080F" w14:paraId="227310D7" w14:textId="77777777" w:rsidTr="00F507B0">
        <w:trPr>
          <w:trHeight w:val="783"/>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40CEC5A6" w14:textId="77777777" w:rsidR="00C20242" w:rsidRDefault="00183C2F" w:rsidP="00C20242">
            <w:pPr>
              <w:jc w:val="left"/>
              <w:rPr>
                <w:rFonts w:cs="Arial"/>
                <w:b/>
                <w:bCs/>
                <w:color w:val="000000"/>
                <w:szCs w:val="22"/>
              </w:rPr>
            </w:pPr>
            <w:r w:rsidRPr="00086B02">
              <w:rPr>
                <w:rFonts w:cs="Arial"/>
                <w:b/>
                <w:bCs/>
                <w:color w:val="000000"/>
                <w:szCs w:val="22"/>
              </w:rPr>
              <w:t>4</w:t>
            </w:r>
            <w:r w:rsidR="00683862" w:rsidRPr="00086B02">
              <w:rPr>
                <w:rFonts w:cs="Arial"/>
                <w:b/>
                <w:bCs/>
                <w:color w:val="000000"/>
                <w:szCs w:val="22"/>
              </w:rPr>
              <w:t>.</w:t>
            </w:r>
            <w:r w:rsidR="00244708" w:rsidRPr="00086B02">
              <w:rPr>
                <w:rFonts w:cs="Arial"/>
                <w:b/>
                <w:bCs/>
                <w:color w:val="000000"/>
                <w:szCs w:val="22"/>
              </w:rPr>
              <w:t xml:space="preserve"> </w:t>
            </w:r>
            <w:r w:rsidR="00C044F5" w:rsidRPr="00086B02">
              <w:rPr>
                <w:rFonts w:cs="Arial"/>
                <w:b/>
                <w:bCs/>
                <w:color w:val="000000"/>
                <w:szCs w:val="22"/>
              </w:rPr>
              <w:t>Automaat</w:t>
            </w:r>
            <w:r w:rsidR="00660902" w:rsidRPr="00086B02">
              <w:rPr>
                <w:rFonts w:cs="Arial"/>
                <w:b/>
                <w:bCs/>
                <w:color w:val="000000"/>
                <w:szCs w:val="22"/>
              </w:rPr>
              <w:t>iopäätöksiä koskevan lain ja ATK-erityislai</w:t>
            </w:r>
            <w:r w:rsidR="004958AE" w:rsidRPr="00086B02">
              <w:rPr>
                <w:rFonts w:cs="Arial"/>
                <w:b/>
                <w:bCs/>
                <w:color w:val="000000"/>
                <w:szCs w:val="22"/>
              </w:rPr>
              <w:t>n</w:t>
            </w:r>
            <w:r w:rsidR="00660902" w:rsidRPr="00086B02">
              <w:rPr>
                <w:rFonts w:cs="Arial"/>
                <w:b/>
                <w:bCs/>
                <w:color w:val="000000"/>
                <w:szCs w:val="22"/>
              </w:rPr>
              <w:t xml:space="preserve"> </w:t>
            </w:r>
            <w:r w:rsidR="00086B02">
              <w:rPr>
                <w:rFonts w:cs="Arial"/>
                <w:b/>
                <w:bCs/>
                <w:color w:val="000000"/>
                <w:szCs w:val="22"/>
              </w:rPr>
              <w:t>l</w:t>
            </w:r>
            <w:r w:rsidR="00660902" w:rsidRPr="00086B02">
              <w:rPr>
                <w:rFonts w:cs="Arial"/>
                <w:b/>
                <w:bCs/>
                <w:color w:val="000000"/>
                <w:szCs w:val="22"/>
              </w:rPr>
              <w:t>ainsäädäntö</w:t>
            </w:r>
            <w:r w:rsidR="00C20242">
              <w:rPr>
                <w:rFonts w:cs="Arial"/>
                <w:b/>
                <w:bCs/>
                <w:color w:val="000000"/>
                <w:szCs w:val="22"/>
              </w:rPr>
              <w:t>-</w:t>
            </w:r>
          </w:p>
          <w:p w14:paraId="324D385C" w14:textId="57814CA4" w:rsidR="00683862" w:rsidRPr="00B014EE" w:rsidRDefault="00C20242" w:rsidP="00C20242">
            <w:pPr>
              <w:ind w:left="170"/>
              <w:jc w:val="left"/>
              <w:rPr>
                <w:rFonts w:cs="Arial"/>
                <w:b/>
                <w:bCs/>
                <w:color w:val="000000"/>
                <w:szCs w:val="22"/>
              </w:rPr>
            </w:pPr>
            <w:r>
              <w:rPr>
                <w:rFonts w:cs="Arial"/>
                <w:b/>
                <w:bCs/>
                <w:color w:val="000000"/>
                <w:szCs w:val="22"/>
              </w:rPr>
              <w:t xml:space="preserve"> </w:t>
            </w:r>
            <w:r w:rsidR="00660902" w:rsidRPr="00086B02">
              <w:rPr>
                <w:rFonts w:cs="Arial"/>
                <w:b/>
                <w:bCs/>
                <w:color w:val="000000"/>
                <w:szCs w:val="22"/>
              </w:rPr>
              <w:t>vaatimusten käyttöönotto</w:t>
            </w:r>
          </w:p>
          <w:p w14:paraId="148CAEFA" w14:textId="77777777" w:rsidR="00F91486" w:rsidRPr="00F91486" w:rsidRDefault="00F91486" w:rsidP="00DF1B1C">
            <w:pPr>
              <w:numPr>
                <w:ilvl w:val="0"/>
                <w:numId w:val="5"/>
              </w:numPr>
              <w:ind w:left="454" w:hanging="284"/>
              <w:jc w:val="left"/>
              <w:rPr>
                <w:rFonts w:cs="Arial"/>
                <w:color w:val="000000" w:themeColor="accent4"/>
              </w:rPr>
            </w:pPr>
            <w:r w:rsidRPr="00F91486">
              <w:rPr>
                <w:rFonts w:cs="Arial"/>
                <w:color w:val="000000" w:themeColor="accent4"/>
              </w:rPr>
              <w:t xml:space="preserve">Muutoksella toimeenpannaan automaattista päätöksentekoa koskevat lakimuutokset. </w:t>
            </w:r>
          </w:p>
          <w:p w14:paraId="5F1BDDE5" w14:textId="3F23041B" w:rsidR="00C044F5" w:rsidRPr="00F91486" w:rsidRDefault="00F91486" w:rsidP="00DF1B1C">
            <w:pPr>
              <w:numPr>
                <w:ilvl w:val="0"/>
                <w:numId w:val="5"/>
              </w:numPr>
              <w:ind w:left="454" w:hanging="284"/>
              <w:jc w:val="left"/>
              <w:rPr>
                <w:rFonts w:cs="Arial"/>
                <w:b/>
                <w:bCs/>
                <w:color w:val="000000"/>
                <w:sz w:val="24"/>
                <w:szCs w:val="24"/>
              </w:rPr>
            </w:pPr>
            <w:r w:rsidRPr="00F91486">
              <w:rPr>
                <w:rFonts w:cs="Arial"/>
                <w:color w:val="000000" w:themeColor="accent4"/>
              </w:rPr>
              <w:t>Asiakkaiden päätöksille lisätään ilmoitus automaattisesta päätöksenteosta ja kerrotaan missä kyseisen ratkaisun tehnyttä automaattista toimintaprosessia koskeva käyttöönottopäätös on nähtävillä.</w:t>
            </w:r>
          </w:p>
        </w:tc>
        <w:tc>
          <w:tcPr>
            <w:tcW w:w="1816"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4B1C9453" w14:textId="526A22B4" w:rsidR="00683862" w:rsidRPr="00EB27C5" w:rsidRDefault="00985ACB" w:rsidP="002100F0">
            <w:pPr>
              <w:jc w:val="center"/>
              <w:rPr>
                <w:rFonts w:cs="Arial"/>
                <w:b/>
                <w:bCs/>
                <w:color w:val="000000"/>
                <w:szCs w:val="22"/>
              </w:rPr>
            </w:pPr>
            <w:r w:rsidRPr="00EB27C5">
              <w:rPr>
                <w:rFonts w:cs="Arial"/>
                <w:b/>
                <w:bCs/>
                <w:color w:val="000000"/>
                <w:szCs w:val="22"/>
              </w:rPr>
              <w:t>2022–2024</w:t>
            </w:r>
          </w:p>
        </w:tc>
      </w:tr>
      <w:tr w:rsidR="00683862" w:rsidRPr="00BF080F" w14:paraId="5308D944" w14:textId="77777777" w:rsidTr="00F507B0">
        <w:trPr>
          <w:trHeight w:val="783"/>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5ED1A334" w14:textId="3FD872CE" w:rsidR="00683862" w:rsidRPr="00B014EE" w:rsidRDefault="00183C2F" w:rsidP="5FF95A44">
            <w:pPr>
              <w:rPr>
                <w:rFonts w:cs="Arial"/>
                <w:b/>
                <w:bCs/>
                <w:color w:val="000000" w:themeColor="accent4"/>
              </w:rPr>
            </w:pPr>
            <w:r>
              <w:rPr>
                <w:rFonts w:cs="Arial"/>
                <w:b/>
                <w:color w:val="000000" w:themeColor="accent4"/>
              </w:rPr>
              <w:t>5</w:t>
            </w:r>
            <w:r w:rsidR="00683862" w:rsidRPr="5FF95A44">
              <w:rPr>
                <w:rFonts w:cs="Arial"/>
                <w:b/>
                <w:color w:val="000000" w:themeColor="accent4"/>
              </w:rPr>
              <w:t>. Kaivos</w:t>
            </w:r>
            <w:r w:rsidR="00660902">
              <w:rPr>
                <w:rFonts w:cs="Arial"/>
                <w:b/>
                <w:color w:val="000000" w:themeColor="accent4"/>
              </w:rPr>
              <w:t>mineraaliveron käyttöönotto</w:t>
            </w:r>
          </w:p>
          <w:p w14:paraId="7D8CF856" w14:textId="4E8B8268" w:rsidR="00683862" w:rsidRPr="005B06FC" w:rsidRDefault="428A7DDD" w:rsidP="00DF1B1C">
            <w:pPr>
              <w:numPr>
                <w:ilvl w:val="0"/>
                <w:numId w:val="5"/>
              </w:numPr>
              <w:ind w:left="454" w:hanging="284"/>
              <w:jc w:val="left"/>
              <w:rPr>
                <w:rFonts w:eastAsia="Arial" w:cs="Arial"/>
                <w:color w:val="000000" w:themeColor="accent4"/>
                <w:szCs w:val="22"/>
              </w:rPr>
            </w:pPr>
            <w:r w:rsidRPr="5FF95A44">
              <w:rPr>
                <w:rFonts w:cs="Arial"/>
                <w:color w:val="000000" w:themeColor="accent4"/>
              </w:rPr>
              <w:t xml:space="preserve">Muutoksella toimeenpannaan </w:t>
            </w:r>
            <w:r w:rsidR="696BF22C" w:rsidRPr="5FF95A44">
              <w:rPr>
                <w:rFonts w:cs="Arial"/>
                <w:color w:val="000000" w:themeColor="accent4"/>
              </w:rPr>
              <w:t>erillinen kaivosmineraalivero.</w:t>
            </w:r>
          </w:p>
          <w:p w14:paraId="3359D608" w14:textId="0756ED18" w:rsidR="00683862" w:rsidRPr="00A47CDD" w:rsidRDefault="00A47CDD" w:rsidP="002100F0">
            <w:pPr>
              <w:numPr>
                <w:ilvl w:val="0"/>
                <w:numId w:val="5"/>
              </w:numPr>
              <w:ind w:left="454" w:hanging="284"/>
              <w:jc w:val="left"/>
              <w:rPr>
                <w:rFonts w:eastAsia="Arial" w:cs="Arial"/>
                <w:color w:val="000000" w:themeColor="accent4"/>
                <w:szCs w:val="22"/>
              </w:rPr>
            </w:pPr>
            <w:r>
              <w:rPr>
                <w:rFonts w:eastAsia="Arial" w:cs="Arial"/>
                <w:color w:val="000000" w:themeColor="accent4"/>
                <w:szCs w:val="22"/>
              </w:rPr>
              <w:t>Kaivosmineraalivero on uusi vero ja uusi perustehtävä Verohallinnolle</w:t>
            </w:r>
          </w:p>
        </w:tc>
        <w:tc>
          <w:tcPr>
            <w:tcW w:w="1816"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1874C727" w14:textId="360C763A" w:rsidR="00683862" w:rsidRPr="00EB27C5" w:rsidRDefault="00985ACB" w:rsidP="002100F0">
            <w:pPr>
              <w:jc w:val="center"/>
              <w:rPr>
                <w:rFonts w:cs="Arial"/>
                <w:b/>
                <w:color w:val="000000"/>
              </w:rPr>
            </w:pPr>
            <w:r w:rsidRPr="00EB27C5">
              <w:rPr>
                <w:rFonts w:cs="Arial"/>
                <w:b/>
                <w:color w:val="000000" w:themeColor="accent4"/>
              </w:rPr>
              <w:t>2022–202</w:t>
            </w:r>
            <w:r w:rsidR="006B4089" w:rsidRPr="00EB27C5">
              <w:rPr>
                <w:rFonts w:cs="Arial"/>
                <w:b/>
                <w:color w:val="000000" w:themeColor="accent4"/>
              </w:rPr>
              <w:t>4</w:t>
            </w:r>
          </w:p>
        </w:tc>
      </w:tr>
      <w:tr w:rsidR="00683862" w:rsidRPr="00BF080F" w14:paraId="00056066" w14:textId="77777777" w:rsidTr="00F507B0">
        <w:trPr>
          <w:trHeight w:val="783"/>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1583E517" w14:textId="4C4C404F" w:rsidR="00683862" w:rsidRPr="00B014EE" w:rsidRDefault="00183C2F" w:rsidP="002100F0">
            <w:pPr>
              <w:rPr>
                <w:rFonts w:cs="Arial"/>
                <w:b/>
                <w:color w:val="000000"/>
              </w:rPr>
            </w:pPr>
            <w:r>
              <w:rPr>
                <w:rFonts w:cs="Arial"/>
                <w:b/>
                <w:bCs/>
                <w:color w:val="000000" w:themeColor="accent4"/>
              </w:rPr>
              <w:t>6</w:t>
            </w:r>
            <w:r w:rsidR="24941444" w:rsidRPr="61E89FC0">
              <w:rPr>
                <w:rFonts w:cs="Arial"/>
                <w:b/>
                <w:bCs/>
                <w:color w:val="000000" w:themeColor="accent4"/>
              </w:rPr>
              <w:t xml:space="preserve">. </w:t>
            </w:r>
            <w:r w:rsidR="00C35C63">
              <w:rPr>
                <w:rFonts w:cs="Arial"/>
                <w:b/>
                <w:bCs/>
                <w:color w:val="000000" w:themeColor="accent4"/>
              </w:rPr>
              <w:t>Kansainvälisen tuloverotuksen uudistaminen (</w:t>
            </w:r>
            <w:r w:rsidR="24941444" w:rsidRPr="61E89FC0">
              <w:rPr>
                <w:rFonts w:cs="Arial"/>
                <w:b/>
                <w:bCs/>
                <w:color w:val="000000" w:themeColor="accent4"/>
              </w:rPr>
              <w:t>OECD pilari</w:t>
            </w:r>
            <w:r w:rsidR="00C35C63">
              <w:rPr>
                <w:rFonts w:cs="Arial"/>
                <w:b/>
                <w:bCs/>
                <w:color w:val="000000" w:themeColor="accent4"/>
              </w:rPr>
              <w:t>t</w:t>
            </w:r>
            <w:r w:rsidR="24941444" w:rsidRPr="61E89FC0">
              <w:rPr>
                <w:rFonts w:cs="Arial"/>
                <w:b/>
                <w:bCs/>
                <w:color w:val="000000" w:themeColor="accent4"/>
              </w:rPr>
              <w:t xml:space="preserve"> </w:t>
            </w:r>
            <w:r w:rsidR="00B40E44">
              <w:rPr>
                <w:rFonts w:cs="Arial"/>
                <w:b/>
                <w:bCs/>
                <w:color w:val="000000" w:themeColor="accent4"/>
              </w:rPr>
              <w:t>I</w:t>
            </w:r>
            <w:r w:rsidR="24941444" w:rsidRPr="61E89FC0">
              <w:rPr>
                <w:rFonts w:cs="Arial"/>
                <w:b/>
                <w:bCs/>
                <w:color w:val="000000" w:themeColor="accent4"/>
              </w:rPr>
              <w:t xml:space="preserve"> ja </w:t>
            </w:r>
            <w:r w:rsidR="00B40E44">
              <w:rPr>
                <w:rFonts w:cs="Arial"/>
                <w:b/>
                <w:bCs/>
                <w:color w:val="000000" w:themeColor="accent4"/>
              </w:rPr>
              <w:t>II</w:t>
            </w:r>
            <w:r w:rsidR="00C35C63">
              <w:rPr>
                <w:rFonts w:cs="Arial"/>
                <w:b/>
                <w:bCs/>
                <w:color w:val="000000" w:themeColor="accent4"/>
              </w:rPr>
              <w:t>)</w:t>
            </w:r>
            <w:r w:rsidR="5290DAE8" w:rsidRPr="61E89FC0">
              <w:rPr>
                <w:rFonts w:cs="Arial"/>
                <w:b/>
                <w:bCs/>
                <w:color w:val="000000" w:themeColor="accent4"/>
              </w:rPr>
              <w:t xml:space="preserve"> </w:t>
            </w:r>
          </w:p>
          <w:p w14:paraId="6DFC3034" w14:textId="42368CC3" w:rsidR="00683862" w:rsidRPr="00B014EE" w:rsidRDefault="5E9DC81C" w:rsidP="00DF1B1C">
            <w:pPr>
              <w:numPr>
                <w:ilvl w:val="0"/>
                <w:numId w:val="5"/>
              </w:numPr>
              <w:ind w:left="454" w:hanging="284"/>
              <w:jc w:val="left"/>
              <w:rPr>
                <w:rFonts w:eastAsia="Arial" w:cs="Arial"/>
                <w:color w:val="000000"/>
              </w:rPr>
            </w:pPr>
            <w:r w:rsidRPr="5FF95A44">
              <w:rPr>
                <w:rFonts w:cs="Arial"/>
                <w:color w:val="000000" w:themeColor="accent4"/>
              </w:rPr>
              <w:t xml:space="preserve">Pilari I - Verotusoikeuden uudelleen allokointi valtioiden välillä  </w:t>
            </w:r>
          </w:p>
          <w:p w14:paraId="7DBA5FFD" w14:textId="275ED4B5" w:rsidR="00683862" w:rsidRPr="00B014EE" w:rsidRDefault="5E9DC81C" w:rsidP="00DF1B1C">
            <w:pPr>
              <w:numPr>
                <w:ilvl w:val="0"/>
                <w:numId w:val="5"/>
              </w:numPr>
              <w:ind w:left="454" w:hanging="284"/>
              <w:jc w:val="left"/>
              <w:rPr>
                <w:rFonts w:eastAsia="Arial" w:cs="Arial"/>
                <w:color w:val="000000"/>
              </w:rPr>
            </w:pPr>
            <w:r w:rsidRPr="5FF95A44">
              <w:rPr>
                <w:color w:val="000000" w:themeColor="accent4"/>
              </w:rPr>
              <w:t xml:space="preserve">Pilari II - Globaali minimiverotus  </w:t>
            </w:r>
          </w:p>
          <w:p w14:paraId="7F7AA4E5" w14:textId="77777777" w:rsidR="009672DB" w:rsidRPr="00AA0929" w:rsidRDefault="001743B0" w:rsidP="00AA0929">
            <w:pPr>
              <w:numPr>
                <w:ilvl w:val="0"/>
                <w:numId w:val="5"/>
              </w:numPr>
              <w:ind w:left="454" w:hanging="284"/>
              <w:jc w:val="left"/>
              <w:rPr>
                <w:rFonts w:eastAsia="Arial" w:cs="Arial"/>
                <w:color w:val="000000"/>
              </w:rPr>
            </w:pPr>
            <w:r w:rsidRPr="001743B0">
              <w:rPr>
                <w:color w:val="000000" w:themeColor="accent4"/>
              </w:rPr>
              <w:t>Uudistuksella ratkaistaan talouden digitalisoitumisesta aiheutuvia verotuksen haasteita</w:t>
            </w:r>
            <w:r w:rsidR="009672DB">
              <w:rPr>
                <w:color w:val="000000" w:themeColor="accent4"/>
              </w:rPr>
              <w:t xml:space="preserve"> (monikansallisten konsernien liiketulon verotusoikeuden osittainen uudelleen allokointi valtioiden kesken sekä yhteisöjen globaali minimiverotus)</w:t>
            </w:r>
          </w:p>
          <w:p w14:paraId="7FF85F98" w14:textId="1EC98445" w:rsidR="00AA0929" w:rsidRPr="009672DB" w:rsidRDefault="00AA0929" w:rsidP="00AA0929">
            <w:pPr>
              <w:numPr>
                <w:ilvl w:val="0"/>
                <w:numId w:val="5"/>
              </w:numPr>
              <w:ind w:left="454" w:hanging="284"/>
              <w:jc w:val="left"/>
              <w:rPr>
                <w:rFonts w:eastAsia="Arial" w:cs="Arial"/>
                <w:color w:val="000000"/>
              </w:rPr>
            </w:pPr>
            <w:r>
              <w:rPr>
                <w:rFonts w:eastAsia="Arial" w:cs="Arial"/>
                <w:color w:val="000000"/>
              </w:rPr>
              <w:t>Uudistus tuo Verohallinnolle uusia tehtäviä ja lisää nykyisten toimintojen toiminnallisia vaatimuksia</w:t>
            </w:r>
          </w:p>
        </w:tc>
        <w:tc>
          <w:tcPr>
            <w:tcW w:w="1816"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76784BEB" w14:textId="7962E868" w:rsidR="00683862" w:rsidRPr="00EB27C5" w:rsidRDefault="00985ACB" w:rsidP="002100F0">
            <w:pPr>
              <w:jc w:val="center"/>
              <w:rPr>
                <w:rFonts w:cs="Arial"/>
                <w:b/>
                <w:bCs/>
                <w:color w:val="000000"/>
                <w:sz w:val="24"/>
                <w:szCs w:val="24"/>
              </w:rPr>
            </w:pPr>
            <w:r w:rsidRPr="00EB27C5">
              <w:rPr>
                <w:rFonts w:cs="Arial"/>
                <w:b/>
                <w:color w:val="000000" w:themeColor="accent4"/>
              </w:rPr>
              <w:t>2022–2025</w:t>
            </w:r>
          </w:p>
        </w:tc>
      </w:tr>
      <w:tr w:rsidR="00683862" w:rsidRPr="00BF080F" w14:paraId="51AEAFEE" w14:textId="77777777" w:rsidTr="00F507B0">
        <w:trPr>
          <w:trHeight w:val="608"/>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694FDD6D" w14:textId="480BFC72" w:rsidR="00683862" w:rsidRPr="00974B19" w:rsidRDefault="00183C2F" w:rsidP="002100F0">
            <w:pPr>
              <w:rPr>
                <w:rFonts w:cs="Arial"/>
                <w:b/>
                <w:bCs/>
                <w:color w:val="000000"/>
                <w:szCs w:val="22"/>
              </w:rPr>
            </w:pPr>
            <w:r>
              <w:rPr>
                <w:rFonts w:cs="Arial"/>
                <w:b/>
                <w:bCs/>
                <w:color w:val="000000"/>
                <w:szCs w:val="22"/>
              </w:rPr>
              <w:t>7</w:t>
            </w:r>
            <w:r w:rsidR="00683862" w:rsidRPr="00974B19">
              <w:rPr>
                <w:rFonts w:cs="Arial"/>
                <w:b/>
                <w:bCs/>
                <w:color w:val="000000"/>
                <w:szCs w:val="22"/>
              </w:rPr>
              <w:t>. K</w:t>
            </w:r>
            <w:r w:rsidR="00A00574">
              <w:rPr>
                <w:rFonts w:cs="Arial"/>
                <w:b/>
                <w:bCs/>
                <w:color w:val="000000"/>
                <w:szCs w:val="22"/>
              </w:rPr>
              <w:t>ansainväliset tietojen</w:t>
            </w:r>
            <w:r w:rsidR="00683862" w:rsidRPr="00974B19">
              <w:rPr>
                <w:rFonts w:cs="Arial"/>
                <w:b/>
                <w:bCs/>
                <w:color w:val="000000"/>
                <w:szCs w:val="22"/>
              </w:rPr>
              <w:t xml:space="preserve">vaihdon </w:t>
            </w:r>
            <w:r w:rsidR="00A00574">
              <w:rPr>
                <w:rFonts w:cs="Arial"/>
                <w:b/>
                <w:bCs/>
                <w:color w:val="000000"/>
                <w:szCs w:val="22"/>
              </w:rPr>
              <w:t>ja yritysverotuksen uudistukset</w:t>
            </w:r>
          </w:p>
          <w:p w14:paraId="176F6ED1" w14:textId="77777777" w:rsidR="00AE3307" w:rsidRPr="00DB2C9E" w:rsidRDefault="00AE3307" w:rsidP="00DB2C9E">
            <w:pPr>
              <w:ind w:left="170"/>
              <w:jc w:val="left"/>
              <w:rPr>
                <w:rFonts w:cs="Arial"/>
                <w:color w:val="000000" w:themeColor="accent4"/>
                <w:u w:val="single"/>
              </w:rPr>
            </w:pPr>
            <w:r w:rsidRPr="00DB2C9E">
              <w:rPr>
                <w:rFonts w:cs="Arial"/>
                <w:color w:val="000000" w:themeColor="accent4"/>
                <w:u w:val="single"/>
              </w:rPr>
              <w:t>1. Kansainväliset tietojenvaihdon uudistukset:</w:t>
            </w:r>
          </w:p>
          <w:p w14:paraId="28FB01EC" w14:textId="17EA6F63" w:rsidR="00AE3307" w:rsidRPr="00AE3307" w:rsidRDefault="00AE3307" w:rsidP="00DB2C9E">
            <w:pPr>
              <w:numPr>
                <w:ilvl w:val="0"/>
                <w:numId w:val="5"/>
              </w:numPr>
              <w:ind w:left="454" w:hanging="284"/>
              <w:jc w:val="left"/>
              <w:rPr>
                <w:rFonts w:cs="Arial"/>
                <w:color w:val="000000" w:themeColor="accent4"/>
              </w:rPr>
            </w:pPr>
            <w:r w:rsidRPr="00AE3307">
              <w:rPr>
                <w:rFonts w:cs="Arial"/>
                <w:color w:val="000000" w:themeColor="accent4"/>
              </w:rPr>
              <w:t>Alustatalous DAC7 ja DPI-projekti</w:t>
            </w:r>
          </w:p>
          <w:p w14:paraId="408584D7" w14:textId="377B6116" w:rsidR="00AE3307" w:rsidRPr="00AE3307" w:rsidRDefault="00AE3307" w:rsidP="00DB2C9E">
            <w:pPr>
              <w:numPr>
                <w:ilvl w:val="0"/>
                <w:numId w:val="5"/>
              </w:numPr>
              <w:ind w:left="454" w:hanging="284"/>
              <w:jc w:val="left"/>
              <w:rPr>
                <w:rFonts w:cs="Arial"/>
                <w:color w:val="000000" w:themeColor="accent4"/>
              </w:rPr>
            </w:pPr>
            <w:r w:rsidRPr="00AE3307">
              <w:rPr>
                <w:rFonts w:cs="Arial"/>
                <w:color w:val="000000" w:themeColor="accent4"/>
              </w:rPr>
              <w:t>DAC8: virtuaalivaluutat ja e-money ja OECD:n CRS.n muutokset</w:t>
            </w:r>
          </w:p>
          <w:p w14:paraId="5D45F83B" w14:textId="571C040E" w:rsidR="00AE3307" w:rsidRPr="00AE3307" w:rsidRDefault="00AE3307" w:rsidP="00DB2C9E">
            <w:pPr>
              <w:numPr>
                <w:ilvl w:val="0"/>
                <w:numId w:val="5"/>
              </w:numPr>
              <w:ind w:left="454" w:hanging="284"/>
              <w:jc w:val="left"/>
              <w:rPr>
                <w:rFonts w:cs="Arial"/>
                <w:color w:val="000000" w:themeColor="accent4"/>
              </w:rPr>
            </w:pPr>
            <w:r w:rsidRPr="00AE3307">
              <w:rPr>
                <w:rFonts w:cs="Arial"/>
                <w:color w:val="000000" w:themeColor="accent4"/>
              </w:rPr>
              <w:t>CESOP: Maksuvälittäjätiedot, Alv-petosten torjunta (PSP)</w:t>
            </w:r>
          </w:p>
          <w:p w14:paraId="6050DE40" w14:textId="77777777" w:rsidR="00AE3307" w:rsidRPr="00DB2C9E" w:rsidRDefault="00AE3307" w:rsidP="00DB2C9E">
            <w:pPr>
              <w:ind w:left="170"/>
              <w:jc w:val="left"/>
              <w:rPr>
                <w:rFonts w:cs="Arial"/>
                <w:color w:val="000000" w:themeColor="accent4"/>
                <w:u w:val="single"/>
              </w:rPr>
            </w:pPr>
            <w:r w:rsidRPr="00DB2C9E">
              <w:rPr>
                <w:rFonts w:cs="Arial"/>
                <w:color w:val="000000" w:themeColor="accent4"/>
                <w:u w:val="single"/>
              </w:rPr>
              <w:t>2. Kansainväliset yritysverotuksen uudistukset:</w:t>
            </w:r>
          </w:p>
          <w:p w14:paraId="196B2FE5" w14:textId="399F8B33" w:rsidR="00AE3307" w:rsidRPr="00AE3307" w:rsidRDefault="00AE3307" w:rsidP="00DB2C9E">
            <w:pPr>
              <w:numPr>
                <w:ilvl w:val="0"/>
                <w:numId w:val="5"/>
              </w:numPr>
              <w:ind w:left="454" w:hanging="284"/>
              <w:jc w:val="left"/>
              <w:rPr>
                <w:rFonts w:cs="Arial"/>
                <w:color w:val="000000" w:themeColor="accent4"/>
              </w:rPr>
            </w:pPr>
            <w:r w:rsidRPr="00AE3307">
              <w:rPr>
                <w:rFonts w:cs="Arial"/>
                <w:color w:val="000000" w:themeColor="accent4"/>
              </w:rPr>
              <w:t>OECD:n Suuryritysten kv-tuloverotuksen uudistaminen</w:t>
            </w:r>
          </w:p>
          <w:p w14:paraId="40191439" w14:textId="177F434B" w:rsidR="00AE3307" w:rsidRPr="00AE3307" w:rsidRDefault="00AE3307" w:rsidP="00DB2C9E">
            <w:pPr>
              <w:numPr>
                <w:ilvl w:val="0"/>
                <w:numId w:val="5"/>
              </w:numPr>
              <w:ind w:left="454" w:hanging="284"/>
              <w:jc w:val="left"/>
              <w:rPr>
                <w:rFonts w:cs="Arial"/>
                <w:color w:val="000000" w:themeColor="accent4"/>
              </w:rPr>
            </w:pPr>
            <w:r w:rsidRPr="00AE3307">
              <w:rPr>
                <w:rFonts w:cs="Arial"/>
                <w:color w:val="000000" w:themeColor="accent4"/>
              </w:rPr>
              <w:t xml:space="preserve">SME </w:t>
            </w:r>
            <w:r w:rsidR="00150CA8">
              <w:rPr>
                <w:rFonts w:cs="Arial"/>
                <w:color w:val="000000" w:themeColor="accent4"/>
              </w:rPr>
              <w:t>(p</w:t>
            </w:r>
            <w:r w:rsidR="00615844">
              <w:rPr>
                <w:rFonts w:cs="Arial"/>
                <w:color w:val="000000" w:themeColor="accent4"/>
              </w:rPr>
              <w:t>k-</w:t>
            </w:r>
            <w:r w:rsidR="00150CA8">
              <w:rPr>
                <w:rFonts w:cs="Arial"/>
                <w:color w:val="000000" w:themeColor="accent4"/>
              </w:rPr>
              <w:t>yrityste</w:t>
            </w:r>
            <w:r w:rsidR="006B4089">
              <w:rPr>
                <w:rFonts w:cs="Arial"/>
                <w:color w:val="000000" w:themeColor="accent4"/>
              </w:rPr>
              <w:t>n</w:t>
            </w:r>
            <w:r w:rsidR="00150CA8">
              <w:rPr>
                <w:rFonts w:cs="Arial"/>
                <w:color w:val="000000" w:themeColor="accent4"/>
              </w:rPr>
              <w:t xml:space="preserve">) </w:t>
            </w:r>
            <w:r w:rsidRPr="00AE3307">
              <w:rPr>
                <w:rFonts w:cs="Arial"/>
                <w:color w:val="000000" w:themeColor="accent4"/>
              </w:rPr>
              <w:t>Alv:n asteittaisesta alarajahuojennuksesta luopuminen</w:t>
            </w:r>
          </w:p>
          <w:p w14:paraId="581E2034" w14:textId="4390F2A3" w:rsidR="00683862" w:rsidRPr="00651172" w:rsidRDefault="00AE3307" w:rsidP="00DB2C9E">
            <w:pPr>
              <w:numPr>
                <w:ilvl w:val="0"/>
                <w:numId w:val="5"/>
              </w:numPr>
              <w:ind w:left="454" w:hanging="284"/>
              <w:jc w:val="left"/>
              <w:rPr>
                <w:rFonts w:cs="Arial"/>
                <w:color w:val="000000"/>
              </w:rPr>
            </w:pPr>
            <w:r w:rsidRPr="00AE3307">
              <w:rPr>
                <w:rFonts w:cs="Arial"/>
                <w:color w:val="000000" w:themeColor="accent4"/>
              </w:rPr>
              <w:t xml:space="preserve">EMCS-lakimuutokset direktiivien myötä </w:t>
            </w:r>
          </w:p>
        </w:tc>
        <w:tc>
          <w:tcPr>
            <w:tcW w:w="1816"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16C654C4" w14:textId="1C7AF720" w:rsidR="00683862" w:rsidRPr="00EB27C5" w:rsidRDefault="00985ACB" w:rsidP="002100F0">
            <w:pPr>
              <w:jc w:val="center"/>
              <w:rPr>
                <w:rFonts w:cs="Arial"/>
                <w:b/>
                <w:bCs/>
                <w:color w:val="000000"/>
                <w:szCs w:val="22"/>
              </w:rPr>
            </w:pPr>
            <w:r w:rsidRPr="00EB27C5">
              <w:rPr>
                <w:rFonts w:cs="Arial"/>
                <w:b/>
                <w:bCs/>
                <w:color w:val="000000"/>
                <w:szCs w:val="22"/>
              </w:rPr>
              <w:t>2022–2025</w:t>
            </w:r>
          </w:p>
        </w:tc>
      </w:tr>
      <w:tr w:rsidR="35EEA63C" w14:paraId="275CF81B" w14:textId="77777777" w:rsidTr="00F507B0">
        <w:trPr>
          <w:trHeight w:val="608"/>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668E0A5E" w14:textId="561030D6" w:rsidR="00B3673E" w:rsidRPr="007303CF" w:rsidRDefault="00183C2F" w:rsidP="007303CF">
            <w:pPr>
              <w:rPr>
                <w:b/>
                <w:bCs/>
                <w:color w:val="000000" w:themeColor="accent4"/>
                <w:szCs w:val="22"/>
              </w:rPr>
            </w:pPr>
            <w:r>
              <w:rPr>
                <w:b/>
                <w:bCs/>
                <w:color w:val="000000" w:themeColor="accent4"/>
                <w:szCs w:val="22"/>
              </w:rPr>
              <w:lastRenderedPageBreak/>
              <w:t>8</w:t>
            </w:r>
            <w:r w:rsidR="41BA5D9E" w:rsidRPr="3045F758">
              <w:rPr>
                <w:b/>
                <w:bCs/>
                <w:color w:val="000000" w:themeColor="accent4"/>
                <w:szCs w:val="22"/>
              </w:rPr>
              <w:t xml:space="preserve">. </w:t>
            </w:r>
            <w:r w:rsidR="00B3673E" w:rsidRPr="006E021E">
              <w:rPr>
                <w:rFonts w:cs="Arial"/>
                <w:b/>
                <w:bCs/>
                <w:color w:val="000000" w:themeColor="accent4"/>
              </w:rPr>
              <w:t xml:space="preserve">Sähköisen identiteetinhallinnan muutokset </w:t>
            </w:r>
            <w:r w:rsidR="006E021E">
              <w:rPr>
                <w:rFonts w:cs="Arial"/>
                <w:b/>
                <w:bCs/>
                <w:color w:val="000000" w:themeColor="accent4"/>
              </w:rPr>
              <w:t>k</w:t>
            </w:r>
            <w:r w:rsidR="00B3673E" w:rsidRPr="006E021E">
              <w:rPr>
                <w:rFonts w:cs="Arial"/>
                <w:b/>
                <w:bCs/>
                <w:color w:val="000000" w:themeColor="accent4"/>
              </w:rPr>
              <w:t>ansalliseen tulorekisteriin</w:t>
            </w:r>
            <w:r w:rsidR="00B3673E" w:rsidRPr="00B3673E">
              <w:rPr>
                <w:rFonts w:cs="Arial"/>
                <w:color w:val="000000" w:themeColor="accent4"/>
              </w:rPr>
              <w:t xml:space="preserve"> </w:t>
            </w:r>
          </w:p>
          <w:p w14:paraId="24895543" w14:textId="19E4BF59" w:rsidR="00DB2C9E" w:rsidRPr="00B3673E" w:rsidRDefault="00DB2C9E" w:rsidP="00254C24">
            <w:pPr>
              <w:numPr>
                <w:ilvl w:val="0"/>
                <w:numId w:val="5"/>
              </w:numPr>
              <w:jc w:val="left"/>
              <w:rPr>
                <w:rFonts w:cs="Arial"/>
                <w:color w:val="000000" w:themeColor="accent4"/>
              </w:rPr>
            </w:pPr>
            <w:r>
              <w:rPr>
                <w:rFonts w:cs="Arial"/>
                <w:color w:val="000000" w:themeColor="accent4"/>
              </w:rPr>
              <w:t>T</w:t>
            </w:r>
            <w:r w:rsidRPr="00B3673E">
              <w:rPr>
                <w:rFonts w:cs="Arial"/>
                <w:color w:val="000000" w:themeColor="accent4"/>
              </w:rPr>
              <w:t>oteutetaan tulorekisterin keskitettyyn palvelutoimintaan kaikki kansallisen henkilötunnuksen uudistamisen ja sähköisen identitee</w:t>
            </w:r>
            <w:r>
              <w:rPr>
                <w:rFonts w:cs="Arial"/>
                <w:color w:val="000000" w:themeColor="accent4"/>
              </w:rPr>
              <w:t>tin</w:t>
            </w:r>
            <w:r w:rsidRPr="00B3673E">
              <w:rPr>
                <w:rFonts w:cs="Arial"/>
                <w:color w:val="000000" w:themeColor="accent4"/>
              </w:rPr>
              <w:t>halli</w:t>
            </w:r>
            <w:r>
              <w:rPr>
                <w:rFonts w:cs="Arial"/>
                <w:color w:val="000000" w:themeColor="accent4"/>
              </w:rPr>
              <w:t xml:space="preserve">nnan </w:t>
            </w:r>
            <w:r w:rsidRPr="00B3673E">
              <w:rPr>
                <w:rFonts w:cs="Arial"/>
                <w:color w:val="000000" w:themeColor="accent4"/>
              </w:rPr>
              <w:t>säädösmuuto</w:t>
            </w:r>
            <w:r>
              <w:rPr>
                <w:rFonts w:cs="Arial"/>
                <w:color w:val="000000" w:themeColor="accent4"/>
              </w:rPr>
              <w:t>sten</w:t>
            </w:r>
            <w:r w:rsidRPr="00B3673E">
              <w:rPr>
                <w:rFonts w:cs="Arial"/>
                <w:color w:val="000000" w:themeColor="accent4"/>
              </w:rPr>
              <w:t xml:space="preserve"> edellyt</w:t>
            </w:r>
            <w:r>
              <w:rPr>
                <w:rFonts w:cs="Arial"/>
                <w:color w:val="000000" w:themeColor="accent4"/>
              </w:rPr>
              <w:t>tämät</w:t>
            </w:r>
            <w:r w:rsidRPr="00B3673E">
              <w:rPr>
                <w:rFonts w:cs="Arial"/>
                <w:color w:val="000000" w:themeColor="accent4"/>
              </w:rPr>
              <w:t xml:space="preserve"> muutokset ja toiminnallisuudet</w:t>
            </w:r>
          </w:p>
          <w:p w14:paraId="7A20663A" w14:textId="4D4DA7DC" w:rsidR="35EEA63C" w:rsidRDefault="00426D80" w:rsidP="00254C24">
            <w:pPr>
              <w:numPr>
                <w:ilvl w:val="0"/>
                <w:numId w:val="5"/>
              </w:numPr>
              <w:jc w:val="left"/>
              <w:rPr>
                <w:b/>
                <w:color w:val="000000" w:themeColor="accent4"/>
              </w:rPr>
            </w:pPr>
            <w:r>
              <w:rPr>
                <w:rFonts w:cs="Arial"/>
                <w:color w:val="000000" w:themeColor="accent4"/>
              </w:rPr>
              <w:t>Muutos</w:t>
            </w:r>
            <w:r w:rsidR="005733E7">
              <w:rPr>
                <w:rFonts w:cs="Arial"/>
                <w:color w:val="000000" w:themeColor="accent4"/>
              </w:rPr>
              <w:t>alu</w:t>
            </w:r>
            <w:r>
              <w:rPr>
                <w:rFonts w:cs="Arial"/>
                <w:color w:val="000000" w:themeColor="accent4"/>
              </w:rPr>
              <w:t>eet:</w:t>
            </w:r>
            <w:r w:rsidR="005733E7">
              <w:rPr>
                <w:rFonts w:cs="Arial"/>
                <w:color w:val="000000" w:themeColor="accent4"/>
              </w:rPr>
              <w:t xml:space="preserve"> </w:t>
            </w:r>
            <w:r>
              <w:rPr>
                <w:rFonts w:cs="Arial"/>
                <w:color w:val="000000" w:themeColor="accent4"/>
              </w:rPr>
              <w:t xml:space="preserve">henkilötunnuksen </w:t>
            </w:r>
            <w:r w:rsidR="00B3673E" w:rsidRPr="00B3673E">
              <w:rPr>
                <w:rFonts w:cs="Arial"/>
                <w:color w:val="000000" w:themeColor="accent4"/>
              </w:rPr>
              <w:t xml:space="preserve">välimerkkimuutos, </w:t>
            </w:r>
            <w:r w:rsidR="005733E7" w:rsidRPr="00B3673E">
              <w:rPr>
                <w:rFonts w:cs="Arial"/>
                <w:color w:val="000000" w:themeColor="accent4"/>
              </w:rPr>
              <w:t>sukupuolineutraali he</w:t>
            </w:r>
            <w:r w:rsidR="005733E7">
              <w:rPr>
                <w:rFonts w:cs="Arial"/>
                <w:color w:val="000000" w:themeColor="accent4"/>
              </w:rPr>
              <w:t>nkilötunnus</w:t>
            </w:r>
            <w:r w:rsidR="005733E7" w:rsidRPr="00B3673E">
              <w:rPr>
                <w:rFonts w:cs="Arial"/>
                <w:color w:val="000000" w:themeColor="accent4"/>
              </w:rPr>
              <w:t>,</w:t>
            </w:r>
            <w:r w:rsidR="005733E7">
              <w:rPr>
                <w:rFonts w:cs="Arial"/>
                <w:color w:val="000000" w:themeColor="accent4"/>
              </w:rPr>
              <w:t xml:space="preserve"> </w:t>
            </w:r>
            <w:r w:rsidR="00B3673E" w:rsidRPr="00B3673E">
              <w:rPr>
                <w:rFonts w:cs="Arial"/>
                <w:color w:val="000000" w:themeColor="accent4"/>
              </w:rPr>
              <w:t xml:space="preserve">yksilöintitunnus (päätöstä yksilöintitunnuksen käyttöönotosta tulorekisteritoiminnassa ei ole tehty), </w:t>
            </w:r>
            <w:r w:rsidR="005733E7" w:rsidRPr="00B3673E">
              <w:rPr>
                <w:rFonts w:cs="Arial"/>
                <w:color w:val="000000" w:themeColor="accent4"/>
              </w:rPr>
              <w:t>etärekisterö</w:t>
            </w:r>
            <w:r w:rsidR="005733E7">
              <w:rPr>
                <w:rFonts w:cs="Arial"/>
                <w:color w:val="000000" w:themeColor="accent4"/>
              </w:rPr>
              <w:t>ityneen henkilötunnuksen käsittely</w:t>
            </w:r>
            <w:r w:rsidR="005733E7" w:rsidRPr="00B3673E">
              <w:rPr>
                <w:rFonts w:cs="Arial"/>
                <w:color w:val="000000" w:themeColor="accent4"/>
              </w:rPr>
              <w:t>,</w:t>
            </w:r>
            <w:r w:rsidR="00B3673E" w:rsidRPr="00B3673E">
              <w:rPr>
                <w:rFonts w:cs="Arial"/>
                <w:color w:val="000000" w:themeColor="accent4"/>
              </w:rPr>
              <w:t xml:space="preserve"> digi</w:t>
            </w:r>
            <w:r w:rsidR="00C31BB4">
              <w:rPr>
                <w:rFonts w:cs="Arial"/>
                <w:color w:val="000000" w:themeColor="accent4"/>
              </w:rPr>
              <w:t>taali</w:t>
            </w:r>
            <w:r w:rsidR="005733E7">
              <w:rPr>
                <w:rFonts w:cs="Arial"/>
                <w:color w:val="000000" w:themeColor="accent4"/>
              </w:rPr>
              <w:t>s</w:t>
            </w:r>
            <w:r w:rsidR="00C31BB4">
              <w:rPr>
                <w:rFonts w:cs="Arial"/>
                <w:color w:val="000000" w:themeColor="accent4"/>
              </w:rPr>
              <w:t>en henkilöllisyystodistu</w:t>
            </w:r>
            <w:r w:rsidR="005733E7">
              <w:rPr>
                <w:rFonts w:cs="Arial"/>
                <w:color w:val="000000" w:themeColor="accent4"/>
              </w:rPr>
              <w:t>ksen</w:t>
            </w:r>
            <w:r w:rsidR="00C31BB4">
              <w:rPr>
                <w:rFonts w:cs="Arial"/>
                <w:color w:val="000000" w:themeColor="accent4"/>
              </w:rPr>
              <w:t xml:space="preserve"> </w:t>
            </w:r>
            <w:r w:rsidR="005733E7">
              <w:rPr>
                <w:rFonts w:cs="Arial"/>
                <w:color w:val="000000" w:themeColor="accent4"/>
              </w:rPr>
              <w:t xml:space="preserve">ja </w:t>
            </w:r>
            <w:r w:rsidR="00B3673E" w:rsidRPr="00B3673E">
              <w:rPr>
                <w:rFonts w:cs="Arial"/>
                <w:color w:val="000000" w:themeColor="accent4"/>
              </w:rPr>
              <w:t>ulkoma</w:t>
            </w:r>
            <w:r>
              <w:rPr>
                <w:rFonts w:cs="Arial"/>
                <w:color w:val="000000" w:themeColor="accent4"/>
              </w:rPr>
              <w:t>alai</w:t>
            </w:r>
            <w:r w:rsidR="00B3673E" w:rsidRPr="00B3673E">
              <w:rPr>
                <w:rFonts w:cs="Arial"/>
                <w:color w:val="000000" w:themeColor="accent4"/>
              </w:rPr>
              <w:t>s</w:t>
            </w:r>
            <w:r>
              <w:rPr>
                <w:rFonts w:cs="Arial"/>
                <w:color w:val="000000" w:themeColor="accent4"/>
              </w:rPr>
              <w:t>t</w:t>
            </w:r>
            <w:r w:rsidR="00B3673E" w:rsidRPr="00B3673E">
              <w:rPr>
                <w:rFonts w:cs="Arial"/>
                <w:color w:val="000000" w:themeColor="accent4"/>
              </w:rPr>
              <w:t>en</w:t>
            </w:r>
            <w:r>
              <w:rPr>
                <w:rFonts w:cs="Arial"/>
                <w:color w:val="000000" w:themeColor="accent4"/>
              </w:rPr>
              <w:t xml:space="preserve"> digitaalisen asiointiväline</w:t>
            </w:r>
            <w:r w:rsidR="005733E7">
              <w:rPr>
                <w:rFonts w:cs="Arial"/>
                <w:color w:val="000000" w:themeColor="accent4"/>
              </w:rPr>
              <w:t xml:space="preserve">en </w:t>
            </w:r>
            <w:r>
              <w:rPr>
                <w:rFonts w:cs="Arial"/>
                <w:color w:val="000000" w:themeColor="accent4"/>
              </w:rPr>
              <w:t>käyttöönotto,</w:t>
            </w:r>
            <w:r w:rsidR="00B3673E" w:rsidRPr="00B3673E">
              <w:rPr>
                <w:rFonts w:cs="Arial"/>
                <w:color w:val="000000" w:themeColor="accent4"/>
              </w:rPr>
              <w:t xml:space="preserve"> VTJ rajapintamuutokset</w:t>
            </w:r>
          </w:p>
        </w:tc>
        <w:tc>
          <w:tcPr>
            <w:tcW w:w="1816"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628BC522" w14:textId="7BBEB47A" w:rsidR="35EEA63C" w:rsidRPr="00EB27C5" w:rsidRDefault="00985ACB" w:rsidP="35EEA63C">
            <w:pPr>
              <w:jc w:val="center"/>
              <w:rPr>
                <w:b/>
                <w:bCs/>
                <w:color w:val="000000" w:themeColor="accent4"/>
                <w:szCs w:val="22"/>
              </w:rPr>
            </w:pPr>
            <w:r w:rsidRPr="00EB27C5">
              <w:rPr>
                <w:b/>
                <w:bCs/>
                <w:color w:val="000000" w:themeColor="accent4"/>
                <w:szCs w:val="22"/>
              </w:rPr>
              <w:t>2022–2027</w:t>
            </w:r>
          </w:p>
        </w:tc>
      </w:tr>
      <w:tr w:rsidR="00683862" w:rsidRPr="00BF080F" w14:paraId="052DB156" w14:textId="77777777" w:rsidTr="00F507B0">
        <w:trPr>
          <w:trHeight w:val="608"/>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4AC4E43B" w14:textId="69279423" w:rsidR="00683862" w:rsidRDefault="00183C2F" w:rsidP="002100F0">
            <w:pPr>
              <w:rPr>
                <w:rFonts w:cs="Arial"/>
                <w:b/>
                <w:color w:val="000000" w:themeColor="accent4"/>
              </w:rPr>
            </w:pPr>
            <w:r>
              <w:rPr>
                <w:rFonts w:cs="Arial"/>
                <w:b/>
                <w:color w:val="000000" w:themeColor="accent4"/>
              </w:rPr>
              <w:t>9</w:t>
            </w:r>
            <w:r w:rsidR="00683862" w:rsidRPr="35EEA63C">
              <w:rPr>
                <w:rFonts w:cs="Arial"/>
                <w:b/>
                <w:color w:val="000000" w:themeColor="accent4"/>
              </w:rPr>
              <w:t>. V</w:t>
            </w:r>
            <w:r w:rsidR="00D963F6">
              <w:rPr>
                <w:rFonts w:cs="Arial"/>
                <w:b/>
                <w:color w:val="000000" w:themeColor="accent4"/>
              </w:rPr>
              <w:t>erohallinnon toimitila</w:t>
            </w:r>
            <w:r w:rsidR="007C7E12">
              <w:rPr>
                <w:rFonts w:cs="Arial"/>
                <w:b/>
                <w:color w:val="000000" w:themeColor="accent4"/>
              </w:rPr>
              <w:t xml:space="preserve">muutokset </w:t>
            </w:r>
            <w:r w:rsidR="00D963F6">
              <w:rPr>
                <w:rFonts w:cs="Arial"/>
                <w:b/>
                <w:color w:val="000000" w:themeColor="accent4"/>
              </w:rPr>
              <w:t>2030</w:t>
            </w:r>
          </w:p>
          <w:p w14:paraId="5C658533" w14:textId="5A2D9140" w:rsidR="00E24BC4" w:rsidRPr="00E24BC4" w:rsidRDefault="00E24BC4" w:rsidP="00254C24">
            <w:pPr>
              <w:numPr>
                <w:ilvl w:val="0"/>
                <w:numId w:val="5"/>
              </w:numPr>
              <w:jc w:val="left"/>
              <w:rPr>
                <w:rFonts w:cs="Arial"/>
                <w:b/>
                <w:color w:val="000000"/>
              </w:rPr>
            </w:pPr>
            <w:r w:rsidRPr="00E24BC4">
              <w:rPr>
                <w:rFonts w:cs="Arial"/>
                <w:color w:val="000000" w:themeColor="accent4"/>
              </w:rPr>
              <w:t>Valtion toimitilastrategian mukaisesti yhteisiin työympäristöihin siirrytään n</w:t>
            </w:r>
            <w:r w:rsidR="005733E7">
              <w:rPr>
                <w:rFonts w:cs="Arial"/>
                <w:color w:val="000000" w:themeColor="accent4"/>
              </w:rPr>
              <w:t>oin</w:t>
            </w:r>
            <w:r w:rsidRPr="00E24BC4">
              <w:rPr>
                <w:rFonts w:cs="Arial"/>
                <w:color w:val="000000" w:themeColor="accent4"/>
              </w:rPr>
              <w:t xml:space="preserve"> 20 suurimmalla paikkakunnalla vuosin</w:t>
            </w:r>
            <w:r>
              <w:rPr>
                <w:rFonts w:cs="Arial"/>
                <w:color w:val="000000" w:themeColor="accent4"/>
              </w:rPr>
              <w:t>a</w:t>
            </w:r>
            <w:r w:rsidRPr="00E24BC4">
              <w:rPr>
                <w:rFonts w:cs="Arial"/>
                <w:color w:val="000000" w:themeColor="accent4"/>
              </w:rPr>
              <w:t xml:space="preserve"> </w:t>
            </w:r>
            <w:r w:rsidR="00985ACB" w:rsidRPr="00E24BC4">
              <w:rPr>
                <w:rFonts w:cs="Arial"/>
                <w:color w:val="000000" w:themeColor="accent4"/>
              </w:rPr>
              <w:t>2023–2030</w:t>
            </w:r>
          </w:p>
          <w:p w14:paraId="35A0174D" w14:textId="61D835FF" w:rsidR="00D93B34" w:rsidRPr="00974B19" w:rsidRDefault="00E24BC4" w:rsidP="00254C24">
            <w:pPr>
              <w:numPr>
                <w:ilvl w:val="0"/>
                <w:numId w:val="5"/>
              </w:numPr>
              <w:jc w:val="left"/>
              <w:rPr>
                <w:rFonts w:cs="Arial"/>
                <w:b/>
                <w:color w:val="000000"/>
              </w:rPr>
            </w:pPr>
            <w:r w:rsidRPr="00E24BC4">
              <w:rPr>
                <w:rFonts w:cs="Arial"/>
                <w:color w:val="000000" w:themeColor="accent4"/>
              </w:rPr>
              <w:t xml:space="preserve">Palvelu- ja toimipaikkaverkkouudistuksen toteutusta edistetään myös vaiheittain ns. toimeenpanoalueittain vuosien </w:t>
            </w:r>
            <w:r w:rsidR="00985ACB" w:rsidRPr="00E24BC4">
              <w:rPr>
                <w:rFonts w:cs="Arial"/>
                <w:color w:val="000000" w:themeColor="accent4"/>
              </w:rPr>
              <w:t>2023–2030</w:t>
            </w:r>
            <w:r w:rsidRPr="00E24BC4">
              <w:rPr>
                <w:rFonts w:cs="Arial"/>
                <w:color w:val="000000" w:themeColor="accent4"/>
              </w:rPr>
              <w:t xml:space="preserve"> välillä</w:t>
            </w:r>
          </w:p>
        </w:tc>
        <w:tc>
          <w:tcPr>
            <w:tcW w:w="1816"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59AAB6A5" w14:textId="10B7967F" w:rsidR="00683862" w:rsidRDefault="00985ACB" w:rsidP="002100F0">
            <w:pPr>
              <w:jc w:val="center"/>
              <w:rPr>
                <w:rFonts w:cs="Arial"/>
                <w:b/>
                <w:bCs/>
                <w:color w:val="000000"/>
                <w:szCs w:val="22"/>
              </w:rPr>
            </w:pPr>
            <w:r>
              <w:rPr>
                <w:rFonts w:cs="Arial"/>
                <w:b/>
                <w:bCs/>
                <w:color w:val="000000"/>
                <w:szCs w:val="22"/>
              </w:rPr>
              <w:t>2023–2030</w:t>
            </w:r>
          </w:p>
        </w:tc>
      </w:tr>
    </w:tbl>
    <w:p w14:paraId="7AB70495" w14:textId="77777777" w:rsidR="0097760A" w:rsidRDefault="0097760A" w:rsidP="0097760A">
      <w:pPr>
        <w:pStyle w:val="Otsikko2"/>
        <w:numPr>
          <w:ilvl w:val="0"/>
          <w:numId w:val="0"/>
        </w:numPr>
      </w:pPr>
    </w:p>
    <w:p w14:paraId="77041349" w14:textId="12A262DA" w:rsidR="00683862" w:rsidRDefault="0A0D851A" w:rsidP="00683862">
      <w:pPr>
        <w:pStyle w:val="Otsikko2"/>
        <w:numPr>
          <w:ilvl w:val="1"/>
          <w:numId w:val="1"/>
        </w:numPr>
      </w:pPr>
      <w:bookmarkStart w:id="11" w:name="_Toc116560491"/>
      <w:r>
        <w:t>T</w:t>
      </w:r>
      <w:r w:rsidR="0096167B">
        <w:t xml:space="preserve">oimintavarmuutta ylläpitävät teknologiset </w:t>
      </w:r>
      <w:r w:rsidR="00683862">
        <w:t>muutokset</w:t>
      </w:r>
      <w:bookmarkEnd w:id="11"/>
    </w:p>
    <w:p w14:paraId="7264DEC3" w14:textId="71BD071C" w:rsidR="00683862" w:rsidRDefault="00683862" w:rsidP="00683862">
      <w:r>
        <w:t>Kehittämistoimenpiteiden tavoitteena on turvata verotuksen toimittami</w:t>
      </w:r>
      <w:r w:rsidR="003D6CCE">
        <w:t>n</w:t>
      </w:r>
      <w:r>
        <w:t>en ja palveluiden häiriöttömyys, parantaa tehokkuutta sekä varmistaa toiminnan valtakunnallinen yhdenmukaisuus ja laadukkuus.</w:t>
      </w:r>
    </w:p>
    <w:p w14:paraId="22C2D9CD" w14:textId="77777777" w:rsidR="00683862" w:rsidRDefault="00683862" w:rsidP="00683862"/>
    <w:tbl>
      <w:tblPr>
        <w:tblW w:w="10055" w:type="dxa"/>
        <w:jc w:val="center"/>
        <w:tblCellMar>
          <w:left w:w="70" w:type="dxa"/>
          <w:right w:w="70" w:type="dxa"/>
        </w:tblCellMar>
        <w:tblLook w:val="04A0" w:firstRow="1" w:lastRow="0" w:firstColumn="1" w:lastColumn="0" w:noHBand="0" w:noVBand="1"/>
      </w:tblPr>
      <w:tblGrid>
        <w:gridCol w:w="8212"/>
        <w:gridCol w:w="1843"/>
      </w:tblGrid>
      <w:tr w:rsidR="00683862" w:rsidRPr="00876EF8" w14:paraId="23B5AA84" w14:textId="77777777" w:rsidTr="004D5BF0">
        <w:trPr>
          <w:trHeight w:val="234"/>
          <w:tblHeader/>
          <w:jc w:val="center"/>
        </w:trPr>
        <w:tc>
          <w:tcPr>
            <w:tcW w:w="8212" w:type="dxa"/>
            <w:tcBorders>
              <w:top w:val="single" w:sz="8" w:space="0" w:color="FFFFFF" w:themeColor="accent3"/>
              <w:left w:val="single" w:sz="8" w:space="0" w:color="FFFFFF" w:themeColor="accent3"/>
              <w:bottom w:val="single" w:sz="4" w:space="0" w:color="000000" w:themeColor="accent4"/>
              <w:right w:val="nil"/>
            </w:tcBorders>
            <w:shd w:val="clear" w:color="auto" w:fill="548235"/>
            <w:vAlign w:val="center"/>
            <w:hideMark/>
          </w:tcPr>
          <w:p w14:paraId="282A43CC" w14:textId="17CC8892" w:rsidR="00683862" w:rsidRPr="0095355C" w:rsidRDefault="00C15A19" w:rsidP="002100F0">
            <w:pPr>
              <w:rPr>
                <w:rFonts w:cs="Arial"/>
                <w:b/>
                <w:bCs/>
                <w:color w:val="FFFFFF"/>
                <w:sz w:val="24"/>
                <w:szCs w:val="24"/>
              </w:rPr>
            </w:pPr>
            <w:r>
              <w:rPr>
                <w:rFonts w:cs="Arial"/>
                <w:b/>
                <w:bCs/>
                <w:color w:val="FFFFFF"/>
                <w:sz w:val="24"/>
                <w:szCs w:val="24"/>
              </w:rPr>
              <w:t>MUUTOSKOH</w:t>
            </w:r>
            <w:r w:rsidR="00683862">
              <w:rPr>
                <w:rFonts w:cs="Arial"/>
                <w:b/>
                <w:bCs/>
                <w:color w:val="FFFFFF"/>
                <w:sz w:val="24"/>
                <w:szCs w:val="24"/>
              </w:rPr>
              <w:t>DE</w:t>
            </w:r>
          </w:p>
        </w:tc>
        <w:tc>
          <w:tcPr>
            <w:tcW w:w="1843" w:type="dxa"/>
            <w:tcBorders>
              <w:top w:val="single" w:sz="8" w:space="0" w:color="FFFFFF" w:themeColor="accent3"/>
              <w:left w:val="single" w:sz="8" w:space="0" w:color="FFFFFF" w:themeColor="accent3"/>
              <w:bottom w:val="single" w:sz="12" w:space="0" w:color="4A7B4A" w:themeColor="accent5" w:themeShade="BF"/>
              <w:right w:val="nil"/>
            </w:tcBorders>
            <w:shd w:val="clear" w:color="auto" w:fill="548235"/>
            <w:vAlign w:val="center"/>
            <w:hideMark/>
          </w:tcPr>
          <w:p w14:paraId="7877B708" w14:textId="77777777" w:rsidR="00683862" w:rsidRPr="0095355C" w:rsidRDefault="00683862" w:rsidP="002100F0">
            <w:pPr>
              <w:rPr>
                <w:rFonts w:cs="Arial"/>
                <w:b/>
                <w:bCs/>
                <w:color w:val="FFFFFF"/>
                <w:sz w:val="24"/>
                <w:szCs w:val="24"/>
              </w:rPr>
            </w:pPr>
            <w:r w:rsidRPr="0095355C">
              <w:rPr>
                <w:rFonts w:cs="Arial"/>
                <w:b/>
                <w:bCs/>
                <w:color w:val="FFFFFF"/>
                <w:sz w:val="24"/>
                <w:szCs w:val="24"/>
              </w:rPr>
              <w:t>AJANKOHTA</w:t>
            </w:r>
          </w:p>
        </w:tc>
      </w:tr>
      <w:tr w:rsidR="00683862" w:rsidRPr="00876EF8" w14:paraId="3F160479" w14:textId="77777777" w:rsidTr="00D8492A">
        <w:trPr>
          <w:trHeight w:val="843"/>
          <w:jc w:val="center"/>
        </w:trPr>
        <w:tc>
          <w:tcPr>
            <w:tcW w:w="8212" w:type="dxa"/>
            <w:tcBorders>
              <w:top w:val="single" w:sz="4" w:space="0" w:color="000000" w:themeColor="accent4"/>
              <w:left w:val="single" w:sz="4" w:space="0" w:color="000000" w:themeColor="accent4"/>
              <w:bottom w:val="single" w:sz="12" w:space="0" w:color="006600" w:themeColor="accent1"/>
              <w:right w:val="single" w:sz="12" w:space="0" w:color="4A7B4A" w:themeColor="accent5" w:themeShade="BF"/>
            </w:tcBorders>
            <w:shd w:val="clear" w:color="auto" w:fill="C2DAC2"/>
          </w:tcPr>
          <w:p w14:paraId="0B5B4021" w14:textId="17D584C9" w:rsidR="00683862" w:rsidRPr="0063797C" w:rsidRDefault="00683862" w:rsidP="002100F0">
            <w:pPr>
              <w:rPr>
                <w:rFonts w:cs="Arial"/>
                <w:color w:val="000000"/>
                <w:sz w:val="24"/>
                <w:szCs w:val="24"/>
              </w:rPr>
            </w:pPr>
            <w:r w:rsidRPr="008C66E4">
              <w:rPr>
                <w:rFonts w:cs="Arial"/>
                <w:b/>
                <w:bCs/>
                <w:color w:val="000000"/>
                <w:szCs w:val="22"/>
              </w:rPr>
              <w:t xml:space="preserve">1. </w:t>
            </w:r>
            <w:r w:rsidR="003E4920">
              <w:rPr>
                <w:rFonts w:cs="Arial"/>
                <w:b/>
                <w:bCs/>
                <w:color w:val="000000"/>
                <w:szCs w:val="22"/>
              </w:rPr>
              <w:t>Verotuksen pilvisiirrot</w:t>
            </w:r>
          </w:p>
          <w:p w14:paraId="5DD8DF4F" w14:textId="77777777" w:rsidR="003D6CCE" w:rsidRDefault="3A43CA15" w:rsidP="00F80324">
            <w:pPr>
              <w:numPr>
                <w:ilvl w:val="0"/>
                <w:numId w:val="8"/>
              </w:numPr>
              <w:spacing w:line="259" w:lineRule="auto"/>
              <w:ind w:left="340" w:hanging="227"/>
              <w:jc w:val="left"/>
              <w:rPr>
                <w:rFonts w:cs="Arial"/>
                <w:color w:val="000000" w:themeColor="accent4"/>
              </w:rPr>
            </w:pPr>
            <w:r w:rsidRPr="5FF95A44">
              <w:rPr>
                <w:rFonts w:cs="Arial"/>
                <w:color w:val="000000" w:themeColor="accent4"/>
              </w:rPr>
              <w:t>Verohallinnon pilvistrategian mukaisesti tietojärjestelmien palvelimet siirretään p</w:t>
            </w:r>
            <w:r w:rsidR="001D692F">
              <w:rPr>
                <w:rFonts w:cs="Arial"/>
                <w:color w:val="000000" w:themeColor="accent4"/>
              </w:rPr>
              <w:t>ilviympäristöö</w:t>
            </w:r>
            <w:r w:rsidRPr="5FF95A44">
              <w:rPr>
                <w:rFonts w:cs="Arial"/>
                <w:color w:val="000000" w:themeColor="accent4"/>
              </w:rPr>
              <w:t>n</w:t>
            </w:r>
          </w:p>
          <w:p w14:paraId="0C85B979" w14:textId="3EEDBAD4" w:rsidR="00683862" w:rsidRPr="00F80324" w:rsidRDefault="003D6CCE" w:rsidP="00F80324">
            <w:pPr>
              <w:numPr>
                <w:ilvl w:val="0"/>
                <w:numId w:val="8"/>
              </w:numPr>
              <w:spacing w:line="259" w:lineRule="auto"/>
              <w:ind w:left="340" w:hanging="227"/>
              <w:jc w:val="left"/>
              <w:rPr>
                <w:rFonts w:cs="Arial"/>
                <w:color w:val="000000" w:themeColor="accent4"/>
              </w:rPr>
            </w:pPr>
            <w:r>
              <w:rPr>
                <w:rFonts w:cs="Arial"/>
                <w:color w:val="000000" w:themeColor="accent4"/>
              </w:rPr>
              <w:t>Pilviympäristöön siirtyminen parantaa toimintavarmuutta ja tietoturvallisuutta sekä mahdollistaa kapasiteetin joustavan käytön.</w:t>
            </w:r>
          </w:p>
          <w:p w14:paraId="1758A60D" w14:textId="0EBB841B" w:rsidR="00683862" w:rsidRPr="006A691F" w:rsidRDefault="2F64CDB8" w:rsidP="00F80324">
            <w:pPr>
              <w:numPr>
                <w:ilvl w:val="0"/>
                <w:numId w:val="8"/>
              </w:numPr>
              <w:spacing w:line="259" w:lineRule="auto"/>
              <w:ind w:left="340" w:hanging="227"/>
              <w:jc w:val="left"/>
              <w:rPr>
                <w:rFonts w:eastAsia="Arial" w:cs="Arial"/>
                <w:color w:val="000000"/>
              </w:rPr>
            </w:pPr>
            <w:r w:rsidRPr="5FF95A44">
              <w:rPr>
                <w:rFonts w:cs="Arial"/>
                <w:color w:val="000000" w:themeColor="accent4"/>
              </w:rPr>
              <w:t>Hallinnoinnin ja valvonnan muutoks</w:t>
            </w:r>
            <w:r w:rsidR="003D6CCE">
              <w:rPr>
                <w:rFonts w:cs="Arial"/>
                <w:color w:val="000000" w:themeColor="accent4"/>
              </w:rPr>
              <w:t>et:</w:t>
            </w:r>
            <w:r w:rsidR="00851981">
              <w:rPr>
                <w:rFonts w:cs="Arial"/>
                <w:color w:val="000000" w:themeColor="accent4"/>
              </w:rPr>
              <w:t xml:space="preserve"> </w:t>
            </w:r>
            <w:r w:rsidR="00851981" w:rsidRPr="5FF95A44">
              <w:rPr>
                <w:rFonts w:cs="Arial"/>
                <w:color w:val="000000" w:themeColor="accent4"/>
              </w:rPr>
              <w:t>pilvipalveluiden toteuttamise</w:t>
            </w:r>
            <w:r w:rsidR="00851981">
              <w:rPr>
                <w:rFonts w:cs="Arial"/>
                <w:color w:val="000000" w:themeColor="accent4"/>
              </w:rPr>
              <w:t>n</w:t>
            </w:r>
            <w:r w:rsidR="00851981" w:rsidRPr="5FF95A44">
              <w:rPr>
                <w:rFonts w:cs="Arial"/>
                <w:color w:val="000000" w:themeColor="accent4"/>
              </w:rPr>
              <w:t xml:space="preserve"> ja ylläpi</w:t>
            </w:r>
            <w:r w:rsidR="00851981">
              <w:rPr>
                <w:rFonts w:cs="Arial"/>
                <w:color w:val="000000" w:themeColor="accent4"/>
              </w:rPr>
              <w:t xml:space="preserve">don </w:t>
            </w:r>
            <w:r w:rsidRPr="5FF95A44">
              <w:rPr>
                <w:rFonts w:cs="Arial"/>
                <w:color w:val="000000" w:themeColor="accent4"/>
              </w:rPr>
              <w:t>yhtenäisyy</w:t>
            </w:r>
            <w:r w:rsidR="00851981">
              <w:rPr>
                <w:rFonts w:cs="Arial"/>
                <w:color w:val="000000" w:themeColor="accent4"/>
              </w:rPr>
              <w:t>den</w:t>
            </w:r>
            <w:r w:rsidRPr="5FF95A44">
              <w:rPr>
                <w:rFonts w:cs="Arial"/>
                <w:color w:val="000000" w:themeColor="accent4"/>
              </w:rPr>
              <w:t>, tehokku</w:t>
            </w:r>
            <w:r w:rsidR="00851981">
              <w:rPr>
                <w:rFonts w:cs="Arial"/>
                <w:color w:val="000000" w:themeColor="accent4"/>
              </w:rPr>
              <w:t>uden</w:t>
            </w:r>
            <w:r w:rsidRPr="5FF95A44">
              <w:rPr>
                <w:rFonts w:cs="Arial"/>
                <w:color w:val="000000" w:themeColor="accent4"/>
              </w:rPr>
              <w:t xml:space="preserve"> ja laa</w:t>
            </w:r>
            <w:r w:rsidR="00851981">
              <w:rPr>
                <w:rFonts w:cs="Arial"/>
                <w:color w:val="000000" w:themeColor="accent4"/>
              </w:rPr>
              <w:t>dun kehittäminen</w:t>
            </w:r>
          </w:p>
        </w:tc>
        <w:tc>
          <w:tcPr>
            <w:tcW w:w="1843"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3EE700C9" w14:textId="2E6A8F3D" w:rsidR="00683862" w:rsidRPr="005C019E" w:rsidRDefault="00985ACB" w:rsidP="002100F0">
            <w:pPr>
              <w:jc w:val="center"/>
              <w:rPr>
                <w:rFonts w:cs="Arial"/>
                <w:b/>
                <w:bCs/>
                <w:color w:val="000000"/>
                <w:szCs w:val="22"/>
              </w:rPr>
            </w:pPr>
            <w:r w:rsidRPr="005C019E">
              <w:rPr>
                <w:rFonts w:cs="Arial"/>
                <w:b/>
                <w:bCs/>
                <w:color w:val="000000"/>
                <w:szCs w:val="22"/>
              </w:rPr>
              <w:t>2021–2025</w:t>
            </w:r>
          </w:p>
        </w:tc>
      </w:tr>
      <w:tr w:rsidR="00683862" w:rsidRPr="00876EF8" w14:paraId="102445F0" w14:textId="77777777" w:rsidTr="00D8492A">
        <w:trPr>
          <w:trHeight w:val="405"/>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5BD207CD" w14:textId="04724BEB" w:rsidR="00683862" w:rsidRPr="00527EC2" w:rsidRDefault="00950231" w:rsidP="61E89FC0">
            <w:pPr>
              <w:rPr>
                <w:rFonts w:cs="Arial"/>
                <w:b/>
                <w:bCs/>
                <w:color w:val="000000" w:themeColor="accent4"/>
              </w:rPr>
            </w:pPr>
            <w:r>
              <w:rPr>
                <w:rFonts w:cs="Arial"/>
                <w:b/>
                <w:color w:val="000000" w:themeColor="accent4"/>
              </w:rPr>
              <w:t>2</w:t>
            </w:r>
            <w:r w:rsidR="00683862" w:rsidRPr="67B3C90E">
              <w:rPr>
                <w:rFonts w:cs="Arial"/>
                <w:b/>
                <w:color w:val="000000" w:themeColor="accent4"/>
              </w:rPr>
              <w:t xml:space="preserve">. Puhelinjärjestelmän toimittajan </w:t>
            </w:r>
            <w:r w:rsidR="7434E191" w:rsidRPr="67B3C90E">
              <w:rPr>
                <w:rFonts w:cs="Arial"/>
                <w:b/>
                <w:bCs/>
                <w:color w:val="000000" w:themeColor="accent4"/>
              </w:rPr>
              <w:t>kilpailutus</w:t>
            </w:r>
          </w:p>
          <w:p w14:paraId="6B072E88" w14:textId="4CF419EC" w:rsidR="00683862" w:rsidRPr="00527EC2" w:rsidRDefault="2B835677" w:rsidP="00F80324">
            <w:pPr>
              <w:numPr>
                <w:ilvl w:val="0"/>
                <w:numId w:val="8"/>
              </w:numPr>
              <w:spacing w:line="259" w:lineRule="auto"/>
              <w:ind w:left="340" w:hanging="227"/>
              <w:jc w:val="left"/>
              <w:rPr>
                <w:rFonts w:eastAsia="Arial" w:cs="Arial"/>
                <w:color w:val="000000" w:themeColor="accent4"/>
              </w:rPr>
            </w:pPr>
            <w:r w:rsidRPr="0E008107">
              <w:rPr>
                <w:rFonts w:cs="Arial"/>
                <w:color w:val="000000" w:themeColor="accent4"/>
              </w:rPr>
              <w:t>Puhelinjärjestelmän sopimuksen päättymisen myötä tulee ajankohtaiseksi sen kilpailuttaminen</w:t>
            </w:r>
            <w:r w:rsidR="6DFFB58E" w:rsidRPr="0E008107">
              <w:rPr>
                <w:rFonts w:cs="Arial"/>
                <w:color w:val="000000" w:themeColor="accent4"/>
              </w:rPr>
              <w:t xml:space="preserve"> ja mahdollinen </w:t>
            </w:r>
            <w:r w:rsidR="008749C0">
              <w:rPr>
                <w:rFonts w:cs="Arial"/>
                <w:color w:val="000000" w:themeColor="accent4"/>
              </w:rPr>
              <w:t xml:space="preserve">järjestelmän </w:t>
            </w:r>
            <w:r w:rsidR="6DFFB58E" w:rsidRPr="0E008107">
              <w:rPr>
                <w:rFonts w:cs="Arial"/>
                <w:color w:val="000000" w:themeColor="accent4"/>
              </w:rPr>
              <w:t>vaihto</w:t>
            </w:r>
          </w:p>
        </w:tc>
        <w:tc>
          <w:tcPr>
            <w:tcW w:w="1843"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0D910973" w14:textId="01AE1930" w:rsidR="00683862" w:rsidRPr="005C019E" w:rsidRDefault="00985ACB" w:rsidP="002100F0">
            <w:pPr>
              <w:jc w:val="center"/>
              <w:rPr>
                <w:rFonts w:cs="Arial"/>
                <w:b/>
                <w:bCs/>
                <w:color w:val="000000"/>
                <w:szCs w:val="22"/>
              </w:rPr>
            </w:pPr>
            <w:r>
              <w:rPr>
                <w:rFonts w:cs="Arial"/>
                <w:b/>
                <w:bCs/>
                <w:color w:val="000000"/>
                <w:szCs w:val="22"/>
              </w:rPr>
              <w:t>2024–2025</w:t>
            </w:r>
          </w:p>
        </w:tc>
      </w:tr>
      <w:tr w:rsidR="00683862" w:rsidRPr="00876EF8" w14:paraId="17A1F8BA" w14:textId="77777777" w:rsidTr="00D8492A">
        <w:trPr>
          <w:trHeight w:val="510"/>
          <w:jc w:val="center"/>
        </w:trPr>
        <w:tc>
          <w:tcPr>
            <w:tcW w:w="8212" w:type="dxa"/>
            <w:tcBorders>
              <w:top w:val="single" w:sz="12" w:space="0" w:color="006600" w:themeColor="accent1"/>
              <w:left w:val="single" w:sz="4" w:space="0" w:color="000000" w:themeColor="accent4"/>
              <w:bottom w:val="single" w:sz="12" w:space="0" w:color="4A7B4A" w:themeColor="accent5" w:themeShade="BF"/>
              <w:right w:val="single" w:sz="12" w:space="0" w:color="4A7B4A" w:themeColor="accent5" w:themeShade="BF"/>
            </w:tcBorders>
            <w:shd w:val="clear" w:color="auto" w:fill="C2DAC2"/>
            <w:vAlign w:val="center"/>
          </w:tcPr>
          <w:p w14:paraId="6A1CED1E" w14:textId="63E850B8" w:rsidR="00683862" w:rsidRDefault="00950231" w:rsidP="002100F0">
            <w:pPr>
              <w:rPr>
                <w:rFonts w:cs="Arial"/>
                <w:b/>
                <w:bCs/>
                <w:color w:val="000000"/>
                <w:szCs w:val="22"/>
              </w:rPr>
            </w:pPr>
            <w:r>
              <w:rPr>
                <w:rFonts w:cs="Arial"/>
                <w:b/>
                <w:bCs/>
                <w:color w:val="000000"/>
                <w:szCs w:val="22"/>
              </w:rPr>
              <w:t>3</w:t>
            </w:r>
            <w:r w:rsidR="00683862" w:rsidRPr="00D123F9">
              <w:rPr>
                <w:rFonts w:cs="Arial"/>
                <w:b/>
                <w:bCs/>
                <w:color w:val="000000"/>
                <w:szCs w:val="22"/>
              </w:rPr>
              <w:t xml:space="preserve">.  </w:t>
            </w:r>
            <w:r w:rsidR="00233726">
              <w:rPr>
                <w:rFonts w:cs="Arial"/>
                <w:b/>
                <w:bCs/>
                <w:color w:val="000000"/>
                <w:szCs w:val="22"/>
              </w:rPr>
              <w:t xml:space="preserve">Verotuksen </w:t>
            </w:r>
            <w:r w:rsidR="00683862">
              <w:rPr>
                <w:rFonts w:cs="Arial"/>
                <w:b/>
                <w:bCs/>
                <w:color w:val="000000"/>
                <w:szCs w:val="22"/>
              </w:rPr>
              <w:t>Gentax-</w:t>
            </w:r>
            <w:r w:rsidR="00233726">
              <w:rPr>
                <w:rFonts w:cs="Arial"/>
                <w:b/>
                <w:bCs/>
                <w:color w:val="000000"/>
                <w:szCs w:val="22"/>
              </w:rPr>
              <w:t xml:space="preserve">valmisohjelmiston seuraava </w:t>
            </w:r>
            <w:r w:rsidR="00683862">
              <w:rPr>
                <w:rFonts w:cs="Arial"/>
                <w:b/>
                <w:bCs/>
                <w:color w:val="000000"/>
                <w:szCs w:val="22"/>
              </w:rPr>
              <w:t>versionvaihto</w:t>
            </w:r>
          </w:p>
          <w:p w14:paraId="0499B811" w14:textId="629412BD" w:rsidR="00DC04C3" w:rsidRPr="008000A5" w:rsidRDefault="002C17BA" w:rsidP="00F80324">
            <w:pPr>
              <w:numPr>
                <w:ilvl w:val="0"/>
                <w:numId w:val="8"/>
              </w:numPr>
              <w:spacing w:line="259" w:lineRule="auto"/>
              <w:ind w:left="340" w:hanging="227"/>
              <w:jc w:val="left"/>
              <w:rPr>
                <w:rFonts w:cs="Arial"/>
                <w:color w:val="000000" w:themeColor="accent4"/>
              </w:rPr>
            </w:pPr>
            <w:r w:rsidRPr="008000A5">
              <w:rPr>
                <w:rFonts w:cs="Arial"/>
                <w:color w:val="000000" w:themeColor="accent4"/>
              </w:rPr>
              <w:t>ohjelmointikielen päivitys, joka turvaa jatkuvuuden</w:t>
            </w:r>
            <w:r w:rsidR="00CE133A" w:rsidRPr="008000A5">
              <w:rPr>
                <w:rFonts w:cs="Arial"/>
                <w:color w:val="000000" w:themeColor="accent4"/>
              </w:rPr>
              <w:t>. C#:iin sii</w:t>
            </w:r>
            <w:r w:rsidR="008000A5">
              <w:rPr>
                <w:rFonts w:cs="Arial"/>
                <w:color w:val="000000" w:themeColor="accent4"/>
              </w:rPr>
              <w:t>r</w:t>
            </w:r>
            <w:r w:rsidR="00CE133A" w:rsidRPr="008000A5">
              <w:rPr>
                <w:rFonts w:cs="Arial"/>
                <w:color w:val="000000" w:themeColor="accent4"/>
              </w:rPr>
              <w:t>tyminen helpottaa koodarien rekrytointia</w:t>
            </w:r>
          </w:p>
          <w:p w14:paraId="5A9BD4C3" w14:textId="1F1FE7B7" w:rsidR="00CE133A" w:rsidRPr="00DC04C3" w:rsidRDefault="00CE133A" w:rsidP="00F80324">
            <w:pPr>
              <w:numPr>
                <w:ilvl w:val="0"/>
                <w:numId w:val="8"/>
              </w:numPr>
              <w:spacing w:line="259" w:lineRule="auto"/>
              <w:ind w:left="340" w:hanging="227"/>
              <w:jc w:val="left"/>
              <w:rPr>
                <w:rFonts w:cs="Arial"/>
                <w:b/>
                <w:bCs/>
                <w:color w:val="000000"/>
                <w:sz w:val="24"/>
                <w:szCs w:val="24"/>
              </w:rPr>
            </w:pPr>
            <w:r w:rsidRPr="008000A5">
              <w:rPr>
                <w:rFonts w:cs="Arial"/>
                <w:color w:val="000000" w:themeColor="accent4"/>
              </w:rPr>
              <w:t>uusia teknisiä ja toiminnallisia ominaisuuksia saadaan käy</w:t>
            </w:r>
            <w:r w:rsidR="00D655C4">
              <w:rPr>
                <w:rFonts w:cs="Arial"/>
                <w:color w:val="000000" w:themeColor="accent4"/>
              </w:rPr>
              <w:t>t</w:t>
            </w:r>
            <w:r w:rsidRPr="008000A5">
              <w:rPr>
                <w:rFonts w:cs="Arial"/>
                <w:color w:val="000000" w:themeColor="accent4"/>
              </w:rPr>
              <w:t>töön</w:t>
            </w:r>
            <w:r w:rsidR="008000A5" w:rsidRPr="008000A5">
              <w:rPr>
                <w:rFonts w:cs="Arial"/>
                <w:color w:val="000000" w:themeColor="accent4"/>
              </w:rPr>
              <w:t>, mm. asiakas-, tili- ja kausitason yhteenvetonäytöt</w:t>
            </w:r>
            <w:r w:rsidR="00D655C4">
              <w:rPr>
                <w:rFonts w:cs="Arial"/>
                <w:color w:val="000000" w:themeColor="accent4"/>
              </w:rPr>
              <w:t>, parempi tuki kapasiteetin optimointiin pilviympäristössä</w:t>
            </w:r>
            <w:r w:rsidR="0033133E">
              <w:rPr>
                <w:rFonts w:cs="Arial"/>
                <w:color w:val="000000" w:themeColor="accent4"/>
              </w:rPr>
              <w:t>, OmaVeron navigaatioon pieniä parannuksia</w:t>
            </w:r>
          </w:p>
        </w:tc>
        <w:tc>
          <w:tcPr>
            <w:tcW w:w="1843"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273E2F1B" w14:textId="77777777" w:rsidR="00683862" w:rsidRPr="00BF080F" w:rsidRDefault="00683862" w:rsidP="002100F0">
            <w:pPr>
              <w:jc w:val="center"/>
              <w:rPr>
                <w:rFonts w:cs="Arial"/>
                <w:b/>
                <w:bCs/>
                <w:color w:val="000000"/>
                <w:sz w:val="24"/>
                <w:szCs w:val="24"/>
              </w:rPr>
            </w:pPr>
            <w:r>
              <w:rPr>
                <w:rFonts w:cs="Arial"/>
                <w:b/>
                <w:bCs/>
                <w:color w:val="000000"/>
                <w:szCs w:val="22"/>
              </w:rPr>
              <w:t>2027</w:t>
            </w:r>
          </w:p>
        </w:tc>
      </w:tr>
      <w:tr w:rsidR="00683862" w:rsidRPr="00876EF8" w14:paraId="12B7170C" w14:textId="77777777" w:rsidTr="00D8492A">
        <w:trPr>
          <w:trHeight w:val="510"/>
          <w:jc w:val="center"/>
        </w:trPr>
        <w:tc>
          <w:tcPr>
            <w:tcW w:w="8212"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C2DAC2"/>
            <w:vAlign w:val="center"/>
          </w:tcPr>
          <w:p w14:paraId="31303C3C" w14:textId="5E19C1D6" w:rsidR="00683862" w:rsidRPr="008C66E4" w:rsidRDefault="00950231" w:rsidP="002100F0">
            <w:pPr>
              <w:rPr>
                <w:rFonts w:cs="Arial"/>
                <w:b/>
                <w:bCs/>
                <w:color w:val="000000"/>
                <w:szCs w:val="22"/>
              </w:rPr>
            </w:pPr>
            <w:r>
              <w:rPr>
                <w:rFonts w:cs="Arial"/>
                <w:b/>
                <w:bCs/>
                <w:color w:val="000000"/>
                <w:szCs w:val="22"/>
              </w:rPr>
              <w:t>4</w:t>
            </w:r>
            <w:r w:rsidR="00683862" w:rsidRPr="008C66E4">
              <w:rPr>
                <w:rFonts w:cs="Arial"/>
                <w:b/>
                <w:bCs/>
                <w:color w:val="000000"/>
                <w:szCs w:val="22"/>
              </w:rPr>
              <w:t>. T</w:t>
            </w:r>
            <w:r w:rsidR="008C373E" w:rsidRPr="008C66E4">
              <w:rPr>
                <w:rFonts w:cs="Arial"/>
                <w:b/>
                <w:bCs/>
                <w:color w:val="000000"/>
                <w:szCs w:val="22"/>
              </w:rPr>
              <w:t>ulorekisterin käyttövarmuuden turvaaminen</w:t>
            </w:r>
          </w:p>
          <w:p w14:paraId="163288C2" w14:textId="4BD2013B" w:rsidR="0015469E" w:rsidRPr="00F80324" w:rsidRDefault="0015469E" w:rsidP="00F80324">
            <w:pPr>
              <w:numPr>
                <w:ilvl w:val="0"/>
                <w:numId w:val="8"/>
              </w:numPr>
              <w:spacing w:line="259" w:lineRule="auto"/>
              <w:ind w:left="340" w:hanging="227"/>
              <w:jc w:val="left"/>
              <w:rPr>
                <w:rFonts w:cs="Arial"/>
                <w:color w:val="000000" w:themeColor="accent4"/>
              </w:rPr>
            </w:pPr>
            <w:r w:rsidRPr="0015469E">
              <w:rPr>
                <w:rFonts w:cs="Arial"/>
                <w:color w:val="000000" w:themeColor="accent4"/>
              </w:rPr>
              <w:t>Tavoitteena on turvata ja varmistaa tulorekisterin perustoiminnan palvelujen toiminnallisuus</w:t>
            </w:r>
            <w:r w:rsidR="009D7AE7">
              <w:rPr>
                <w:rFonts w:cs="Arial"/>
                <w:color w:val="000000" w:themeColor="accent4"/>
              </w:rPr>
              <w:t xml:space="preserve">, </w:t>
            </w:r>
            <w:r w:rsidRPr="0015469E">
              <w:rPr>
                <w:rFonts w:cs="Arial"/>
                <w:color w:val="000000" w:themeColor="accent4"/>
              </w:rPr>
              <w:t>mahdollistaa tulotietojärjestelmän uusien laajennusten käyttöönottoedellytykset sekä turvata rekisterin perustoiminnan hallittavuus myös tulotietojärjestelmään tavoiteltujen uusien laajennusten jälkeen.</w:t>
            </w:r>
          </w:p>
          <w:p w14:paraId="73B0CB37" w14:textId="6ED44817" w:rsidR="001B0616" w:rsidRPr="00F80324" w:rsidRDefault="008D27D8" w:rsidP="00F80324">
            <w:pPr>
              <w:numPr>
                <w:ilvl w:val="0"/>
                <w:numId w:val="8"/>
              </w:numPr>
              <w:spacing w:line="259" w:lineRule="auto"/>
              <w:ind w:left="340" w:hanging="227"/>
              <w:jc w:val="left"/>
              <w:rPr>
                <w:rFonts w:cs="Arial"/>
                <w:color w:val="000000" w:themeColor="accent4"/>
              </w:rPr>
            </w:pPr>
            <w:r>
              <w:rPr>
                <w:rFonts w:cs="Arial"/>
                <w:color w:val="000000" w:themeColor="accent4"/>
              </w:rPr>
              <w:t>U</w:t>
            </w:r>
            <w:r w:rsidR="001B0616" w:rsidRPr="0015469E">
              <w:rPr>
                <w:rFonts w:cs="Arial"/>
                <w:color w:val="000000" w:themeColor="accent4"/>
              </w:rPr>
              <w:t>udistetaan kansallisen tulorekisterin keskitettyjen rekisteripalveluiden tekninen ratkaisu pilviarkkitehtuurin teknisiin ratkaisuihin</w:t>
            </w:r>
          </w:p>
          <w:p w14:paraId="2BB53153" w14:textId="20FC7C44" w:rsidR="0015469E" w:rsidRPr="00F80324" w:rsidRDefault="0015469E" w:rsidP="00F80324">
            <w:pPr>
              <w:numPr>
                <w:ilvl w:val="0"/>
                <w:numId w:val="8"/>
              </w:numPr>
              <w:spacing w:line="259" w:lineRule="auto"/>
              <w:ind w:left="340" w:hanging="227"/>
              <w:jc w:val="left"/>
              <w:rPr>
                <w:rFonts w:cs="Arial"/>
                <w:color w:val="000000" w:themeColor="accent4"/>
              </w:rPr>
            </w:pPr>
            <w:r w:rsidRPr="0015469E">
              <w:rPr>
                <w:rFonts w:cs="Arial"/>
                <w:color w:val="000000" w:themeColor="accent4"/>
              </w:rPr>
              <w:t>Muutos mahdollistaa tulorekisterin reaaliaikaisen käytettävyyden asiakastarpeiden mukaisesti. </w:t>
            </w:r>
          </w:p>
          <w:p w14:paraId="64642ABB" w14:textId="7E7F2A97" w:rsidR="00677E0B" w:rsidRPr="00F80324" w:rsidRDefault="00677E0B" w:rsidP="00F80324">
            <w:pPr>
              <w:numPr>
                <w:ilvl w:val="0"/>
                <w:numId w:val="8"/>
              </w:numPr>
              <w:spacing w:line="259" w:lineRule="auto"/>
              <w:ind w:left="340" w:hanging="227"/>
              <w:jc w:val="left"/>
              <w:rPr>
                <w:rFonts w:cs="Arial"/>
                <w:color w:val="000000" w:themeColor="accent4"/>
              </w:rPr>
            </w:pPr>
            <w:r>
              <w:rPr>
                <w:rFonts w:cs="Arial"/>
                <w:color w:val="000000" w:themeColor="accent4"/>
              </w:rPr>
              <w:t>TE24 uudistus</w:t>
            </w:r>
            <w:r w:rsidR="0051423A">
              <w:rPr>
                <w:rFonts w:cs="Arial"/>
                <w:color w:val="000000" w:themeColor="accent4"/>
              </w:rPr>
              <w:t xml:space="preserve"> (toteutetaan suoraan pilviympäristöön)</w:t>
            </w:r>
          </w:p>
          <w:p w14:paraId="3BCFA9D9" w14:textId="4F3E8280" w:rsidR="00577F50" w:rsidRPr="00A7778E" w:rsidRDefault="008400DE" w:rsidP="00F80324">
            <w:pPr>
              <w:numPr>
                <w:ilvl w:val="0"/>
                <w:numId w:val="8"/>
              </w:numPr>
              <w:spacing w:line="259" w:lineRule="auto"/>
              <w:ind w:left="340" w:hanging="227"/>
              <w:jc w:val="left"/>
              <w:rPr>
                <w:rFonts w:eastAsia="Arial" w:cs="Arial"/>
                <w:b/>
                <w:color w:val="000000" w:themeColor="accent4"/>
              </w:rPr>
            </w:pPr>
            <w:r>
              <w:rPr>
                <w:rFonts w:cs="Arial"/>
                <w:color w:val="000000" w:themeColor="accent4"/>
              </w:rPr>
              <w:t>Tulorekisterin käytettävyyden parantaminen pilviympäristössä</w:t>
            </w:r>
          </w:p>
        </w:tc>
        <w:tc>
          <w:tcPr>
            <w:tcW w:w="1843"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401BAAFE" w14:textId="77777777" w:rsidR="00D77701" w:rsidRDefault="00D77701" w:rsidP="002100F0">
            <w:pPr>
              <w:jc w:val="center"/>
              <w:rPr>
                <w:rFonts w:cs="Arial"/>
                <w:b/>
                <w:bCs/>
                <w:color w:val="000000"/>
                <w:szCs w:val="22"/>
              </w:rPr>
            </w:pPr>
          </w:p>
          <w:p w14:paraId="257DAF94" w14:textId="77777777" w:rsidR="00D77701" w:rsidRDefault="00D77701" w:rsidP="002100F0">
            <w:pPr>
              <w:jc w:val="center"/>
              <w:rPr>
                <w:rFonts w:cs="Arial"/>
                <w:b/>
                <w:bCs/>
                <w:color w:val="000000"/>
                <w:szCs w:val="22"/>
              </w:rPr>
            </w:pPr>
          </w:p>
          <w:p w14:paraId="70201F26" w14:textId="77777777" w:rsidR="00D77701" w:rsidRDefault="00D77701" w:rsidP="002100F0">
            <w:pPr>
              <w:jc w:val="center"/>
              <w:rPr>
                <w:rFonts w:cs="Arial"/>
                <w:b/>
                <w:bCs/>
                <w:color w:val="000000"/>
                <w:szCs w:val="22"/>
              </w:rPr>
            </w:pPr>
          </w:p>
          <w:p w14:paraId="181742C9" w14:textId="77777777" w:rsidR="00D77701" w:rsidRDefault="00D77701" w:rsidP="002100F0">
            <w:pPr>
              <w:jc w:val="center"/>
              <w:rPr>
                <w:rFonts w:cs="Arial"/>
                <w:b/>
                <w:bCs/>
                <w:color w:val="000000"/>
                <w:szCs w:val="22"/>
              </w:rPr>
            </w:pPr>
          </w:p>
          <w:p w14:paraId="290D935A" w14:textId="77777777" w:rsidR="00D77701" w:rsidRDefault="00D77701" w:rsidP="002100F0">
            <w:pPr>
              <w:jc w:val="center"/>
              <w:rPr>
                <w:rFonts w:cs="Arial"/>
                <w:b/>
                <w:bCs/>
                <w:color w:val="000000"/>
                <w:szCs w:val="22"/>
              </w:rPr>
            </w:pPr>
          </w:p>
          <w:p w14:paraId="69DCFB1D" w14:textId="4F69CDEB" w:rsidR="00683862" w:rsidRDefault="00985ACB" w:rsidP="002100F0">
            <w:pPr>
              <w:jc w:val="center"/>
              <w:rPr>
                <w:rFonts w:cs="Arial"/>
                <w:b/>
                <w:bCs/>
                <w:color w:val="000000"/>
                <w:szCs w:val="22"/>
              </w:rPr>
            </w:pPr>
            <w:r>
              <w:rPr>
                <w:rFonts w:cs="Arial"/>
                <w:b/>
                <w:bCs/>
                <w:color w:val="000000"/>
                <w:szCs w:val="22"/>
              </w:rPr>
              <w:t>2022–2026</w:t>
            </w:r>
          </w:p>
          <w:p w14:paraId="2893D3EF" w14:textId="77777777" w:rsidR="00D77701" w:rsidRDefault="00D77701" w:rsidP="002100F0">
            <w:pPr>
              <w:jc w:val="center"/>
              <w:rPr>
                <w:rFonts w:cs="Arial"/>
                <w:b/>
                <w:bCs/>
                <w:color w:val="000000"/>
                <w:szCs w:val="22"/>
              </w:rPr>
            </w:pPr>
          </w:p>
          <w:p w14:paraId="1DF3BA72" w14:textId="77777777" w:rsidR="00D77701" w:rsidRDefault="00D77701" w:rsidP="002100F0">
            <w:pPr>
              <w:jc w:val="center"/>
              <w:rPr>
                <w:rFonts w:cs="Arial"/>
                <w:b/>
                <w:bCs/>
                <w:color w:val="000000"/>
                <w:szCs w:val="22"/>
              </w:rPr>
            </w:pPr>
          </w:p>
          <w:p w14:paraId="4A5865EF" w14:textId="77777777" w:rsidR="00D77701" w:rsidRDefault="00D77701" w:rsidP="002100F0">
            <w:pPr>
              <w:jc w:val="center"/>
              <w:rPr>
                <w:rFonts w:cs="Arial"/>
                <w:b/>
                <w:bCs/>
                <w:color w:val="000000"/>
                <w:szCs w:val="22"/>
              </w:rPr>
            </w:pPr>
          </w:p>
          <w:p w14:paraId="1CC13E98" w14:textId="77777777" w:rsidR="00D77701" w:rsidRDefault="00D77701" w:rsidP="002100F0">
            <w:pPr>
              <w:jc w:val="center"/>
              <w:rPr>
                <w:rFonts w:cs="Arial"/>
                <w:b/>
                <w:bCs/>
                <w:color w:val="000000"/>
                <w:szCs w:val="22"/>
              </w:rPr>
            </w:pPr>
          </w:p>
          <w:p w14:paraId="28B3BF1A" w14:textId="2A44641C" w:rsidR="00D77701" w:rsidRDefault="00D77701" w:rsidP="002100F0">
            <w:pPr>
              <w:jc w:val="center"/>
              <w:rPr>
                <w:rFonts w:cs="Arial"/>
                <w:b/>
                <w:bCs/>
                <w:color w:val="000000"/>
                <w:szCs w:val="22"/>
              </w:rPr>
            </w:pPr>
          </w:p>
        </w:tc>
      </w:tr>
    </w:tbl>
    <w:p w14:paraId="29551A35" w14:textId="32F131B7" w:rsidR="00683862" w:rsidRDefault="00683862" w:rsidP="00683862">
      <w:pPr>
        <w:pStyle w:val="Otsikko2"/>
        <w:numPr>
          <w:ilvl w:val="1"/>
          <w:numId w:val="1"/>
        </w:numPr>
      </w:pPr>
      <w:bookmarkStart w:id="12" w:name="_Toc116560492"/>
      <w:r>
        <w:lastRenderedPageBreak/>
        <w:t>Merkittävimmät strategiset muutoskohteet</w:t>
      </w:r>
      <w:bookmarkEnd w:id="12"/>
    </w:p>
    <w:p w14:paraId="7122F4D0" w14:textId="05C2A76C" w:rsidR="00E65B82" w:rsidRDefault="00E65B82" w:rsidP="00E65B82">
      <w:r>
        <w:t>Verohallin</w:t>
      </w:r>
      <w:r w:rsidR="00090706">
        <w:t>non</w:t>
      </w:r>
      <w:r w:rsidR="00745129">
        <w:t xml:space="preserve"> strateginen kehittäminen</w:t>
      </w:r>
      <w:r>
        <w:t xml:space="preserve"> </w:t>
      </w:r>
      <w:r w:rsidR="00745129">
        <w:t xml:space="preserve">suunnittelukaudella </w:t>
      </w:r>
      <w:r w:rsidR="00985ACB">
        <w:t>2023–2027</w:t>
      </w:r>
      <w:r w:rsidR="005E76D6">
        <w:t xml:space="preserve"> </w:t>
      </w:r>
      <w:r w:rsidR="00E91F9B">
        <w:t>painottuu</w:t>
      </w:r>
      <w:r w:rsidR="00745129">
        <w:t xml:space="preserve"> seuraav</w:t>
      </w:r>
      <w:r w:rsidR="00852361">
        <w:t>i</w:t>
      </w:r>
      <w:r w:rsidR="0055090A">
        <w:t>e</w:t>
      </w:r>
      <w:r w:rsidR="00852361">
        <w:t xml:space="preserve">n </w:t>
      </w:r>
      <w:r w:rsidR="0055090A">
        <w:t>tavoite</w:t>
      </w:r>
      <w:r w:rsidR="00852361">
        <w:t>kokonaisuuksi</w:t>
      </w:r>
      <w:r w:rsidR="0055090A">
        <w:t>e</w:t>
      </w:r>
      <w:r w:rsidR="00852361">
        <w:t>n</w:t>
      </w:r>
      <w:r w:rsidR="0055090A">
        <w:t xml:space="preserve"> edistämiseen</w:t>
      </w:r>
      <w:r w:rsidR="00852361">
        <w:t>:</w:t>
      </w:r>
      <w:r w:rsidR="00745129">
        <w:t xml:space="preserve"> </w:t>
      </w:r>
    </w:p>
    <w:p w14:paraId="2270BE29" w14:textId="77777777" w:rsidR="001D56BA" w:rsidRDefault="001D56BA" w:rsidP="00105C3B"/>
    <w:p w14:paraId="4C562E45" w14:textId="72B4F176" w:rsidR="00105C3B" w:rsidRDefault="00105C3B" w:rsidP="00F57C37">
      <w:pPr>
        <w:pStyle w:val="Luettelokappale"/>
        <w:numPr>
          <w:ilvl w:val="0"/>
          <w:numId w:val="20"/>
        </w:numPr>
        <w:spacing w:line="276" w:lineRule="auto"/>
      </w:pPr>
      <w:r>
        <w:t>Verotus osana yritysten ja ihmisten arkea</w:t>
      </w:r>
    </w:p>
    <w:p w14:paraId="2139FA04" w14:textId="4C3EA87C" w:rsidR="00105C3B" w:rsidRDefault="00105C3B" w:rsidP="001D56BA">
      <w:pPr>
        <w:pStyle w:val="Luettelokappale"/>
        <w:numPr>
          <w:ilvl w:val="0"/>
          <w:numId w:val="20"/>
        </w:numPr>
      </w:pPr>
      <w:r>
        <w:t>Yksinkertaisempaan verotukseen</w:t>
      </w:r>
    </w:p>
    <w:p w14:paraId="483922FA" w14:textId="77777777" w:rsidR="00105C3B" w:rsidRDefault="00105C3B" w:rsidP="00105C3B"/>
    <w:p w14:paraId="61ACDCF6" w14:textId="102028F5" w:rsidR="00440183" w:rsidRDefault="00105C3B" w:rsidP="00683862">
      <w:r>
        <w:t>Ensimmäisen tavoitekokonaisuuden osalta suunnittelukaudella panostetaan erityisesti yritysten digitaloutta edistäviin toimenpiteisiin</w:t>
      </w:r>
      <w:r w:rsidR="00373378">
        <w:t>.</w:t>
      </w:r>
      <w:r w:rsidR="00E57720">
        <w:t xml:space="preserve"> T</w:t>
      </w:r>
      <w:r>
        <w:t>ois</w:t>
      </w:r>
      <w:r w:rsidR="001055F5">
        <w:t xml:space="preserve">essa tavoitekokonaisuudessa </w:t>
      </w:r>
      <w:r w:rsidR="00243FE0">
        <w:t>kehittämisen painopiste on</w:t>
      </w:r>
      <w:r w:rsidR="00CE5A67">
        <w:t xml:space="preserve"> </w:t>
      </w:r>
      <w:r w:rsidR="00373378" w:rsidRPr="00B072D9">
        <w:t>verotu</w:t>
      </w:r>
      <w:r w:rsidR="00B072D9" w:rsidRPr="00B072D9">
        <w:t>sprosessien virtaviivaistamisessa</w:t>
      </w:r>
      <w:r>
        <w:t>, henkilöiden ennakkoperinnän uudistamise</w:t>
      </w:r>
      <w:r w:rsidR="00243FE0">
        <w:t>ssa</w:t>
      </w:r>
      <w:r>
        <w:t xml:space="preserve"> sekä yrittäjän elämää helpottavi</w:t>
      </w:r>
      <w:r w:rsidR="00243FE0">
        <w:t>ssa</w:t>
      </w:r>
      <w:r>
        <w:t xml:space="preserve"> toimenpiteis</w:t>
      </w:r>
      <w:r w:rsidR="00243FE0">
        <w:t>sä</w:t>
      </w:r>
      <w:r>
        <w:t xml:space="preserve">. </w:t>
      </w:r>
      <w:r w:rsidR="00C14247">
        <w:t>Molempiin tavoitekokonaisuuksiin sisältyy lisäksi myös muita toimenpiteitä, joita edistetään edellä mainittujen muutoskohteiden rinnalla (ks.</w:t>
      </w:r>
      <w:r w:rsidR="003C54FB">
        <w:t xml:space="preserve"> tarkemmin</w:t>
      </w:r>
      <w:r w:rsidR="00C14247">
        <w:t xml:space="preserve"> luku 3.5). </w:t>
      </w:r>
    </w:p>
    <w:p w14:paraId="4D225E4A" w14:textId="77777777" w:rsidR="00C14247" w:rsidRPr="007F148D" w:rsidRDefault="00C14247" w:rsidP="00683862"/>
    <w:tbl>
      <w:tblPr>
        <w:tblW w:w="9913" w:type="dxa"/>
        <w:jc w:val="center"/>
        <w:tblCellMar>
          <w:left w:w="70" w:type="dxa"/>
          <w:right w:w="70" w:type="dxa"/>
        </w:tblCellMar>
        <w:tblLook w:val="04A0" w:firstRow="1" w:lastRow="0" w:firstColumn="1" w:lastColumn="0" w:noHBand="0" w:noVBand="1"/>
      </w:tblPr>
      <w:tblGrid>
        <w:gridCol w:w="8212"/>
        <w:gridCol w:w="1701"/>
      </w:tblGrid>
      <w:tr w:rsidR="00683862" w:rsidRPr="0095355C" w14:paraId="718D7EDB" w14:textId="77777777" w:rsidTr="004D5BF0">
        <w:trPr>
          <w:trHeight w:val="234"/>
          <w:tblHeader/>
          <w:jc w:val="center"/>
        </w:trPr>
        <w:tc>
          <w:tcPr>
            <w:tcW w:w="8212" w:type="dxa"/>
            <w:tcBorders>
              <w:top w:val="single" w:sz="8" w:space="0" w:color="FFFFFF" w:themeColor="accent3"/>
              <w:left w:val="single" w:sz="8" w:space="0" w:color="FFFFFF" w:themeColor="accent3"/>
              <w:bottom w:val="single" w:sz="4" w:space="0" w:color="000000" w:themeColor="accent4"/>
              <w:right w:val="nil"/>
            </w:tcBorders>
            <w:shd w:val="clear" w:color="auto" w:fill="548235"/>
            <w:vAlign w:val="center"/>
            <w:hideMark/>
          </w:tcPr>
          <w:p w14:paraId="341746A9" w14:textId="3E885649" w:rsidR="00683862" w:rsidRPr="0095355C" w:rsidRDefault="00C15A19" w:rsidP="002100F0">
            <w:pPr>
              <w:rPr>
                <w:rFonts w:cs="Arial"/>
                <w:b/>
                <w:bCs/>
                <w:color w:val="FFFFFF"/>
                <w:sz w:val="24"/>
                <w:szCs w:val="24"/>
              </w:rPr>
            </w:pPr>
            <w:r>
              <w:rPr>
                <w:rFonts w:cs="Arial"/>
                <w:b/>
                <w:bCs/>
                <w:color w:val="FFFFFF"/>
                <w:sz w:val="24"/>
                <w:szCs w:val="24"/>
              </w:rPr>
              <w:t>MUUTOSKOHDE</w:t>
            </w:r>
          </w:p>
        </w:tc>
        <w:tc>
          <w:tcPr>
            <w:tcW w:w="1701" w:type="dxa"/>
            <w:tcBorders>
              <w:top w:val="single" w:sz="8" w:space="0" w:color="FFFFFF" w:themeColor="accent3"/>
              <w:left w:val="single" w:sz="8" w:space="0" w:color="FFFFFF" w:themeColor="accent3"/>
              <w:bottom w:val="single" w:sz="12" w:space="0" w:color="4A7B4A" w:themeColor="accent5" w:themeShade="BF"/>
              <w:right w:val="nil"/>
            </w:tcBorders>
            <w:shd w:val="clear" w:color="auto" w:fill="548235"/>
            <w:vAlign w:val="center"/>
            <w:hideMark/>
          </w:tcPr>
          <w:p w14:paraId="7BFE9B01" w14:textId="77777777" w:rsidR="00683862" w:rsidRPr="0095355C" w:rsidRDefault="00683862" w:rsidP="002100F0">
            <w:pPr>
              <w:rPr>
                <w:rFonts w:cs="Arial"/>
                <w:b/>
                <w:bCs/>
                <w:color w:val="FFFFFF"/>
                <w:sz w:val="24"/>
                <w:szCs w:val="24"/>
              </w:rPr>
            </w:pPr>
            <w:r w:rsidRPr="0095355C">
              <w:rPr>
                <w:rFonts w:cs="Arial"/>
                <w:b/>
                <w:bCs/>
                <w:color w:val="FFFFFF"/>
                <w:sz w:val="24"/>
                <w:szCs w:val="24"/>
              </w:rPr>
              <w:t>AJANKOHTA</w:t>
            </w:r>
          </w:p>
        </w:tc>
      </w:tr>
      <w:tr w:rsidR="00683862" w:rsidRPr="005C019E" w14:paraId="62DD7239" w14:textId="77777777" w:rsidTr="00ED5E0C">
        <w:trPr>
          <w:trHeight w:val="416"/>
          <w:jc w:val="center"/>
        </w:trPr>
        <w:tc>
          <w:tcPr>
            <w:tcW w:w="8212" w:type="dxa"/>
            <w:tcBorders>
              <w:top w:val="single" w:sz="4" w:space="0" w:color="000000" w:themeColor="accent4"/>
              <w:left w:val="single" w:sz="4" w:space="0" w:color="000000" w:themeColor="accent4"/>
              <w:bottom w:val="single" w:sz="12" w:space="0" w:color="006600" w:themeColor="accent1"/>
              <w:right w:val="single" w:sz="12" w:space="0" w:color="4A7B4A" w:themeColor="accent5" w:themeShade="BF"/>
            </w:tcBorders>
            <w:shd w:val="clear" w:color="auto" w:fill="C2DAC2"/>
          </w:tcPr>
          <w:p w14:paraId="5C487D62" w14:textId="3BD7DACD" w:rsidR="00683862" w:rsidRPr="00851F35" w:rsidRDefault="00683862" w:rsidP="00F46EA3">
            <w:pPr>
              <w:jc w:val="left"/>
              <w:rPr>
                <w:rFonts w:cs="Arial"/>
                <w:color w:val="000000"/>
                <w:sz w:val="24"/>
                <w:szCs w:val="24"/>
              </w:rPr>
            </w:pPr>
            <w:r w:rsidRPr="61E89FC0">
              <w:rPr>
                <w:rFonts w:cs="Arial"/>
                <w:b/>
                <w:color w:val="000000" w:themeColor="accent4"/>
              </w:rPr>
              <w:t xml:space="preserve">1. </w:t>
            </w:r>
            <w:r w:rsidR="000C0A9F">
              <w:rPr>
                <w:rFonts w:cs="Arial"/>
                <w:b/>
                <w:color w:val="000000" w:themeColor="accent4"/>
              </w:rPr>
              <w:t>Verotu</w:t>
            </w:r>
            <w:r w:rsidR="00344682">
              <w:rPr>
                <w:rFonts w:cs="Arial"/>
                <w:b/>
                <w:color w:val="000000" w:themeColor="accent4"/>
              </w:rPr>
              <w:t>sprosessien virtaviivaistaminen</w:t>
            </w:r>
          </w:p>
          <w:p w14:paraId="726556D3" w14:textId="06ECF59C" w:rsidR="00683862" w:rsidRPr="00EC1706" w:rsidRDefault="39394797" w:rsidP="007C27F1">
            <w:pPr>
              <w:numPr>
                <w:ilvl w:val="0"/>
                <w:numId w:val="8"/>
              </w:numPr>
              <w:spacing w:line="259" w:lineRule="auto"/>
              <w:ind w:left="340" w:hanging="227"/>
              <w:jc w:val="left"/>
            </w:pPr>
            <w:r w:rsidRPr="007C27F1">
              <w:rPr>
                <w:rFonts w:cs="Arial"/>
                <w:color w:val="000000" w:themeColor="accent4"/>
              </w:rPr>
              <w:t xml:space="preserve">Toteutetaan automaatioratkaisuilla </w:t>
            </w:r>
            <w:r w:rsidR="00F57C37" w:rsidRPr="007C27F1">
              <w:rPr>
                <w:rFonts w:cs="Arial"/>
                <w:color w:val="000000" w:themeColor="accent4"/>
              </w:rPr>
              <w:t>ja</w:t>
            </w:r>
            <w:r w:rsidRPr="007C27F1">
              <w:rPr>
                <w:rFonts w:cs="Arial"/>
                <w:color w:val="000000" w:themeColor="accent4"/>
              </w:rPr>
              <w:t xml:space="preserve"> prosessien muutoksilla siirtymä</w:t>
            </w:r>
            <w:r w:rsidR="000C0A9F" w:rsidRPr="007C27F1">
              <w:rPr>
                <w:rFonts w:cs="Arial"/>
                <w:color w:val="000000" w:themeColor="accent4"/>
              </w:rPr>
              <w:t>, jossa vähennetään vuosittain toistuvi</w:t>
            </w:r>
            <w:r w:rsidR="003734F9" w:rsidRPr="007C27F1">
              <w:rPr>
                <w:rFonts w:cs="Arial"/>
                <w:color w:val="000000" w:themeColor="accent4"/>
              </w:rPr>
              <w:t xml:space="preserve">in tehtäviin käytettävää pakollista henkilötyötä </w:t>
            </w:r>
            <w:r w:rsidR="006E3766" w:rsidRPr="007C27F1">
              <w:rPr>
                <w:rFonts w:cs="Arial"/>
                <w:color w:val="000000" w:themeColor="accent4"/>
              </w:rPr>
              <w:t xml:space="preserve">verotuksen vaikuttavuuspohjaisen </w:t>
            </w:r>
            <w:r w:rsidR="00223164" w:rsidRPr="007C27F1">
              <w:rPr>
                <w:rFonts w:cs="Arial"/>
                <w:color w:val="000000" w:themeColor="accent4"/>
              </w:rPr>
              <w:t xml:space="preserve">eli ohjaus- ja valvontasuunnitelman mukaisen </w:t>
            </w:r>
            <w:r w:rsidR="006E3766" w:rsidRPr="007C27F1">
              <w:rPr>
                <w:rFonts w:cs="Arial"/>
                <w:color w:val="000000" w:themeColor="accent4"/>
              </w:rPr>
              <w:t>työn työmäärän lisäämiseksi</w:t>
            </w:r>
            <w:r w:rsidRPr="005340DE">
              <w:rPr>
                <w:rFonts w:cs="Arial"/>
              </w:rPr>
              <w:t xml:space="preserve"> </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34C0C8A0" w14:textId="1DD76C76" w:rsidR="00683862" w:rsidRPr="005C019E" w:rsidRDefault="00985ACB" w:rsidP="002100F0">
            <w:pPr>
              <w:jc w:val="center"/>
              <w:rPr>
                <w:rFonts w:cs="Arial"/>
                <w:b/>
                <w:bCs/>
                <w:color w:val="000000"/>
                <w:szCs w:val="22"/>
              </w:rPr>
            </w:pPr>
            <w:r w:rsidRPr="005C019E">
              <w:rPr>
                <w:rFonts w:cs="Arial"/>
                <w:b/>
                <w:bCs/>
                <w:color w:val="000000"/>
                <w:szCs w:val="22"/>
              </w:rPr>
              <w:t>202</w:t>
            </w:r>
            <w:r>
              <w:rPr>
                <w:rFonts w:cs="Arial"/>
                <w:b/>
                <w:bCs/>
                <w:color w:val="000000"/>
                <w:szCs w:val="22"/>
              </w:rPr>
              <w:t>2</w:t>
            </w:r>
            <w:r w:rsidRPr="005C019E">
              <w:rPr>
                <w:rFonts w:cs="Arial"/>
                <w:b/>
                <w:bCs/>
                <w:color w:val="000000"/>
                <w:szCs w:val="22"/>
              </w:rPr>
              <w:t>–202</w:t>
            </w:r>
            <w:r w:rsidR="00CC6B8C">
              <w:rPr>
                <w:rFonts w:cs="Arial"/>
                <w:b/>
                <w:bCs/>
                <w:color w:val="000000"/>
                <w:szCs w:val="22"/>
              </w:rPr>
              <w:t>7</w:t>
            </w:r>
          </w:p>
        </w:tc>
      </w:tr>
      <w:tr w:rsidR="00683862" w:rsidRPr="005C019E" w14:paraId="3BE6C1AA" w14:textId="77777777" w:rsidTr="00ED5E0C">
        <w:trPr>
          <w:trHeight w:val="520"/>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tcPr>
          <w:p w14:paraId="6473D536" w14:textId="5E3C1799" w:rsidR="00683862" w:rsidRPr="002F22E8" w:rsidRDefault="00683862" w:rsidP="002100F0">
            <w:pPr>
              <w:rPr>
                <w:rFonts w:cs="Arial"/>
                <w:color w:val="000000"/>
                <w:szCs w:val="22"/>
              </w:rPr>
            </w:pPr>
            <w:r>
              <w:rPr>
                <w:rFonts w:cs="Arial"/>
                <w:b/>
                <w:bCs/>
                <w:color w:val="000000"/>
                <w:szCs w:val="22"/>
              </w:rPr>
              <w:t xml:space="preserve">2. </w:t>
            </w:r>
            <w:r w:rsidRPr="00102555">
              <w:rPr>
                <w:rFonts w:cs="Arial"/>
                <w:b/>
                <w:bCs/>
                <w:color w:val="000000"/>
                <w:szCs w:val="22"/>
              </w:rPr>
              <w:t xml:space="preserve"> Yrity</w:t>
            </w:r>
            <w:r>
              <w:rPr>
                <w:rFonts w:cs="Arial"/>
                <w:b/>
                <w:bCs/>
                <w:color w:val="000000"/>
                <w:szCs w:val="22"/>
              </w:rPr>
              <w:t>ksen digitalous</w:t>
            </w:r>
            <w:r w:rsidR="002F22E8">
              <w:rPr>
                <w:rFonts w:cs="Arial"/>
                <w:b/>
                <w:bCs/>
                <w:color w:val="000000"/>
                <w:szCs w:val="22"/>
              </w:rPr>
              <w:t xml:space="preserve"> </w:t>
            </w:r>
            <w:r w:rsidR="002F22E8">
              <w:rPr>
                <w:rFonts w:cs="Arial"/>
                <w:color w:val="000000"/>
                <w:szCs w:val="22"/>
              </w:rPr>
              <w:t>(TEM/PRH-vetoinen hanke)</w:t>
            </w:r>
          </w:p>
          <w:p w14:paraId="4AC77705" w14:textId="383E8F25" w:rsidR="00683862" w:rsidRPr="00950231" w:rsidRDefault="00683862" w:rsidP="007C27F1">
            <w:pPr>
              <w:numPr>
                <w:ilvl w:val="0"/>
                <w:numId w:val="8"/>
              </w:numPr>
              <w:spacing w:line="259" w:lineRule="auto"/>
              <w:ind w:left="340" w:hanging="227"/>
              <w:jc w:val="left"/>
              <w:rPr>
                <w:rFonts w:cs="Arial"/>
                <w:color w:val="000000" w:themeColor="accent4"/>
              </w:rPr>
            </w:pPr>
            <w:r w:rsidRPr="00950231">
              <w:rPr>
                <w:rFonts w:cs="Arial"/>
                <w:color w:val="000000" w:themeColor="accent4"/>
              </w:rPr>
              <w:t>Yrityksen taloushallinnon digitalisaatiokehityksen tukeminen</w:t>
            </w:r>
          </w:p>
          <w:p w14:paraId="612DE510" w14:textId="77777777" w:rsidR="00683862" w:rsidRPr="0012798E" w:rsidRDefault="00683862" w:rsidP="007C27F1">
            <w:pPr>
              <w:numPr>
                <w:ilvl w:val="0"/>
                <w:numId w:val="8"/>
              </w:numPr>
              <w:spacing w:line="259" w:lineRule="auto"/>
              <w:ind w:left="340" w:hanging="227"/>
              <w:jc w:val="left"/>
              <w:rPr>
                <w:rFonts w:cs="Arial"/>
                <w:color w:val="000000" w:themeColor="accent4"/>
              </w:rPr>
            </w:pPr>
            <w:r w:rsidRPr="00950231">
              <w:rPr>
                <w:rFonts w:cs="Arial"/>
                <w:color w:val="000000" w:themeColor="accent4"/>
              </w:rPr>
              <w:t>Yksinkertaistettu viranomaisraportointi</w:t>
            </w:r>
            <w:r w:rsidRPr="0012798E">
              <w:rPr>
                <w:rFonts w:cs="Arial"/>
                <w:color w:val="000000" w:themeColor="accent4"/>
              </w:rPr>
              <w:t xml:space="preserve"> on mahdollistettu ja tekniset edellytykset ovat olemassa</w:t>
            </w:r>
          </w:p>
          <w:p w14:paraId="38B98662" w14:textId="7A8726FF" w:rsidR="00683862" w:rsidRPr="0012798E" w:rsidRDefault="00683862" w:rsidP="007C27F1">
            <w:pPr>
              <w:numPr>
                <w:ilvl w:val="0"/>
                <w:numId w:val="8"/>
              </w:numPr>
              <w:spacing w:line="259" w:lineRule="auto"/>
              <w:ind w:left="340" w:hanging="227"/>
              <w:jc w:val="left"/>
              <w:rPr>
                <w:rFonts w:cs="Arial"/>
                <w:color w:val="000000" w:themeColor="accent4"/>
              </w:rPr>
            </w:pPr>
            <w:r w:rsidRPr="0012798E">
              <w:rPr>
                <w:rFonts w:cs="Arial"/>
                <w:color w:val="000000" w:themeColor="accent4"/>
              </w:rPr>
              <w:t xml:space="preserve">Tiedot verotusta varten saadaan </w:t>
            </w:r>
            <w:r w:rsidR="006448EB" w:rsidRPr="0012798E">
              <w:rPr>
                <w:rFonts w:cs="Arial"/>
                <w:color w:val="000000" w:themeColor="accent4"/>
              </w:rPr>
              <w:t>yritysten tietojärjestelmistä</w:t>
            </w:r>
            <w:r w:rsidR="006448EB">
              <w:rPr>
                <w:rFonts w:cs="Arial"/>
                <w:color w:val="000000" w:themeColor="accent4"/>
              </w:rPr>
              <w:t xml:space="preserve"> </w:t>
            </w:r>
            <w:r w:rsidRPr="0012798E">
              <w:rPr>
                <w:rFonts w:cs="Arial"/>
                <w:color w:val="000000" w:themeColor="accent4"/>
              </w:rPr>
              <w:t>rakenteisessa, standardissa yhteensopivassa muodossa. Verosäännöt ovat osa asiakkaiden järjestelmiä, jolloin tiedon oikeellisuus varmistetaan osittain jo tiedon lähteellä</w:t>
            </w:r>
          </w:p>
          <w:p w14:paraId="406522D6" w14:textId="2829EF54" w:rsidR="00683862" w:rsidRPr="00527EC2" w:rsidRDefault="00683862" w:rsidP="007C27F1">
            <w:pPr>
              <w:numPr>
                <w:ilvl w:val="0"/>
                <w:numId w:val="8"/>
              </w:numPr>
              <w:spacing w:line="259" w:lineRule="auto"/>
              <w:ind w:left="340" w:hanging="227"/>
              <w:jc w:val="left"/>
              <w:rPr>
                <w:rFonts w:cs="Arial"/>
                <w:b/>
                <w:bCs/>
                <w:color w:val="000000"/>
              </w:rPr>
            </w:pPr>
            <w:r w:rsidRPr="0012798E">
              <w:rPr>
                <w:rFonts w:cs="Arial"/>
                <w:color w:val="000000" w:themeColor="accent4"/>
              </w:rPr>
              <w:t>Reaaliaikatalouden (RTE) kehityskohteet (verkkolasku, e-kuitti,</w:t>
            </w:r>
            <w:r w:rsidR="00ED5E0C">
              <w:rPr>
                <w:rFonts w:cs="Arial"/>
                <w:color w:val="000000" w:themeColor="accent4"/>
              </w:rPr>
              <w:t xml:space="preserve"> </w:t>
            </w:r>
            <w:r w:rsidRPr="0012798E">
              <w:rPr>
                <w:rFonts w:cs="Arial"/>
                <w:color w:val="000000" w:themeColor="accent4"/>
              </w:rPr>
              <w:t>veroraportointi)</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vAlign w:val="center"/>
          </w:tcPr>
          <w:p w14:paraId="02F63F4B" w14:textId="4DB13A72" w:rsidR="00683862" w:rsidRPr="005C019E" w:rsidRDefault="00985ACB" w:rsidP="002100F0">
            <w:pPr>
              <w:jc w:val="center"/>
              <w:rPr>
                <w:rFonts w:cs="Arial"/>
                <w:szCs w:val="22"/>
              </w:rPr>
            </w:pPr>
            <w:r w:rsidRPr="005C019E">
              <w:rPr>
                <w:rFonts w:cs="Arial"/>
                <w:b/>
                <w:bCs/>
                <w:color w:val="000000"/>
                <w:szCs w:val="22"/>
              </w:rPr>
              <w:t>202</w:t>
            </w:r>
            <w:r>
              <w:rPr>
                <w:rFonts w:cs="Arial"/>
                <w:b/>
                <w:bCs/>
                <w:color w:val="000000"/>
                <w:szCs w:val="22"/>
              </w:rPr>
              <w:t>2</w:t>
            </w:r>
            <w:r w:rsidRPr="005C019E">
              <w:rPr>
                <w:rFonts w:cs="Arial"/>
                <w:b/>
                <w:bCs/>
                <w:color w:val="000000"/>
                <w:szCs w:val="22"/>
              </w:rPr>
              <w:t>–2026</w:t>
            </w:r>
          </w:p>
        </w:tc>
      </w:tr>
      <w:tr w:rsidR="00683862" w:rsidRPr="005C019E" w14:paraId="139CD43E" w14:textId="77777777" w:rsidTr="00ED5E0C">
        <w:trPr>
          <w:trHeight w:val="520"/>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tcPr>
          <w:p w14:paraId="1EA0710D" w14:textId="77777777" w:rsidR="00683862" w:rsidRDefault="00683862" w:rsidP="002100F0">
            <w:pPr>
              <w:rPr>
                <w:rFonts w:cs="Arial"/>
                <w:b/>
                <w:bCs/>
                <w:color w:val="000000"/>
                <w:szCs w:val="22"/>
              </w:rPr>
            </w:pPr>
            <w:r>
              <w:rPr>
                <w:rFonts w:cs="Arial"/>
                <w:b/>
                <w:bCs/>
                <w:color w:val="000000"/>
                <w:szCs w:val="22"/>
              </w:rPr>
              <w:t>3. Henkilöiden ennakkoperinnän uudistaminen</w:t>
            </w:r>
          </w:p>
          <w:p w14:paraId="286A53C8" w14:textId="53716AE2" w:rsidR="00012639" w:rsidRPr="007C27F1" w:rsidRDefault="6F66973D" w:rsidP="007C27F1">
            <w:pPr>
              <w:numPr>
                <w:ilvl w:val="0"/>
                <w:numId w:val="8"/>
              </w:numPr>
              <w:spacing w:line="259" w:lineRule="auto"/>
              <w:ind w:left="340" w:hanging="227"/>
              <w:jc w:val="left"/>
              <w:rPr>
                <w:rFonts w:cs="Arial"/>
                <w:color w:val="000000" w:themeColor="accent4"/>
              </w:rPr>
            </w:pPr>
            <w:r w:rsidRPr="007C27F1">
              <w:rPr>
                <w:rFonts w:cs="Arial"/>
                <w:color w:val="000000" w:themeColor="accent4"/>
              </w:rPr>
              <w:t>Verokort</w:t>
            </w:r>
            <w:r w:rsidR="22E7A15C" w:rsidRPr="007C27F1">
              <w:rPr>
                <w:rFonts w:cs="Arial"/>
                <w:color w:val="000000" w:themeColor="accent4"/>
              </w:rPr>
              <w:t>ti</w:t>
            </w:r>
            <w:r w:rsidRPr="007C27F1">
              <w:rPr>
                <w:rFonts w:cs="Arial"/>
                <w:color w:val="000000" w:themeColor="accent4"/>
              </w:rPr>
              <w:t xml:space="preserve"> voimaan </w:t>
            </w:r>
            <w:r w:rsidR="7C19F807" w:rsidRPr="007C27F1">
              <w:rPr>
                <w:rFonts w:cs="Arial"/>
                <w:color w:val="000000" w:themeColor="accent4"/>
              </w:rPr>
              <w:t>1.1.</w:t>
            </w:r>
            <w:r w:rsidR="5819F1EC" w:rsidRPr="007C27F1">
              <w:rPr>
                <w:rFonts w:cs="Arial"/>
                <w:color w:val="000000" w:themeColor="accent4"/>
              </w:rPr>
              <w:t xml:space="preserve">, peruslaskenta </w:t>
            </w:r>
            <w:r w:rsidR="6DD205D1" w:rsidRPr="007C27F1">
              <w:rPr>
                <w:rFonts w:cs="Arial"/>
                <w:color w:val="000000" w:themeColor="accent4"/>
              </w:rPr>
              <w:t>ajantasais</w:t>
            </w:r>
            <w:r w:rsidR="63338EAE" w:rsidRPr="007C27F1">
              <w:rPr>
                <w:rFonts w:cs="Arial"/>
                <w:color w:val="000000" w:themeColor="accent4"/>
              </w:rPr>
              <w:t>emmi</w:t>
            </w:r>
            <w:r w:rsidR="72E9BF6E" w:rsidRPr="007C27F1">
              <w:rPr>
                <w:rFonts w:cs="Arial"/>
                <w:color w:val="000000" w:themeColor="accent4"/>
              </w:rPr>
              <w:t>lla</w:t>
            </w:r>
            <w:r w:rsidR="6DD205D1" w:rsidRPr="007C27F1">
              <w:rPr>
                <w:rFonts w:cs="Arial"/>
                <w:color w:val="000000" w:themeColor="accent4"/>
              </w:rPr>
              <w:t xml:space="preserve"> tiedoi</w:t>
            </w:r>
            <w:r w:rsidR="7F1CD381" w:rsidRPr="007C27F1">
              <w:rPr>
                <w:rFonts w:cs="Arial"/>
                <w:color w:val="000000" w:themeColor="accent4"/>
              </w:rPr>
              <w:t>lla</w:t>
            </w:r>
          </w:p>
          <w:p w14:paraId="3ACA892E" w14:textId="0F6A5DFB" w:rsidR="006446D5" w:rsidRPr="007C27F1" w:rsidRDefault="00254C24" w:rsidP="007C27F1">
            <w:pPr>
              <w:numPr>
                <w:ilvl w:val="0"/>
                <w:numId w:val="8"/>
              </w:numPr>
              <w:spacing w:line="259" w:lineRule="auto"/>
              <w:ind w:left="340" w:hanging="227"/>
              <w:jc w:val="left"/>
              <w:rPr>
                <w:rFonts w:cs="Arial"/>
                <w:color w:val="000000" w:themeColor="accent4"/>
              </w:rPr>
            </w:pPr>
            <w:r>
              <w:rPr>
                <w:rFonts w:cs="Arial"/>
                <w:color w:val="000000" w:themeColor="accent4"/>
              </w:rPr>
              <w:t>E</w:t>
            </w:r>
            <w:r w:rsidR="7806617A" w:rsidRPr="007C27F1">
              <w:rPr>
                <w:rFonts w:cs="Arial"/>
                <w:color w:val="000000" w:themeColor="accent4"/>
              </w:rPr>
              <w:t>nsi</w:t>
            </w:r>
            <w:r w:rsidR="359BB339" w:rsidRPr="007C27F1">
              <w:rPr>
                <w:rFonts w:cs="Arial"/>
                <w:color w:val="000000" w:themeColor="accent4"/>
              </w:rPr>
              <w:t>si</w:t>
            </w:r>
            <w:r w:rsidR="7806617A" w:rsidRPr="007C27F1">
              <w:rPr>
                <w:rFonts w:cs="Arial"/>
                <w:color w:val="000000" w:themeColor="accent4"/>
              </w:rPr>
              <w:t>jaisesti sähköinen asiakkuus</w:t>
            </w:r>
            <w:r w:rsidR="359BB339" w:rsidRPr="007C27F1">
              <w:rPr>
                <w:rFonts w:cs="Arial"/>
                <w:color w:val="000000" w:themeColor="accent4"/>
              </w:rPr>
              <w:t xml:space="preserve"> eli verokortti vain sähköisenä</w:t>
            </w:r>
          </w:p>
          <w:p w14:paraId="3159DBD5" w14:textId="77DE010C" w:rsidR="005A7381" w:rsidRPr="007C27F1" w:rsidRDefault="00254C24" w:rsidP="007C27F1">
            <w:pPr>
              <w:numPr>
                <w:ilvl w:val="0"/>
                <w:numId w:val="8"/>
              </w:numPr>
              <w:spacing w:line="259" w:lineRule="auto"/>
              <w:ind w:left="340" w:hanging="227"/>
              <w:jc w:val="left"/>
              <w:rPr>
                <w:rFonts w:cs="Arial"/>
                <w:color w:val="000000" w:themeColor="accent4"/>
              </w:rPr>
            </w:pPr>
            <w:r>
              <w:rPr>
                <w:rFonts w:cs="Arial"/>
                <w:color w:val="000000" w:themeColor="accent4"/>
              </w:rPr>
              <w:t>S</w:t>
            </w:r>
            <w:r w:rsidR="15798723" w:rsidRPr="007C27F1">
              <w:rPr>
                <w:rFonts w:cs="Arial"/>
                <w:color w:val="000000" w:themeColor="accent4"/>
              </w:rPr>
              <w:t>uorituksen maksaja</w:t>
            </w:r>
            <w:r w:rsidR="7CC233DD" w:rsidRPr="007C27F1">
              <w:rPr>
                <w:rFonts w:cs="Arial"/>
                <w:color w:val="000000" w:themeColor="accent4"/>
              </w:rPr>
              <w:t xml:space="preserve">lle velvollisuus hakea </w:t>
            </w:r>
            <w:r w:rsidR="15798723" w:rsidRPr="007C27F1">
              <w:rPr>
                <w:rFonts w:cs="Arial"/>
                <w:color w:val="000000" w:themeColor="accent4"/>
              </w:rPr>
              <w:t>ennakonpidätystiedot sähköisesti</w:t>
            </w:r>
            <w:r w:rsidR="4B7EA217" w:rsidRPr="007C27F1">
              <w:rPr>
                <w:rFonts w:cs="Arial"/>
                <w:color w:val="000000" w:themeColor="accent4"/>
              </w:rPr>
              <w:t xml:space="preserve"> (pakollisuus </w:t>
            </w:r>
            <w:r w:rsidR="1403798B" w:rsidRPr="007C27F1">
              <w:rPr>
                <w:rFonts w:cs="Arial"/>
                <w:color w:val="000000" w:themeColor="accent4"/>
              </w:rPr>
              <w:t>voidaan tarv</w:t>
            </w:r>
            <w:r w:rsidR="007724D6" w:rsidRPr="007C27F1">
              <w:rPr>
                <w:rFonts w:cs="Arial"/>
                <w:color w:val="000000" w:themeColor="accent4"/>
              </w:rPr>
              <w:t>ittaessa</w:t>
            </w:r>
            <w:r w:rsidR="1403798B" w:rsidRPr="007C27F1">
              <w:rPr>
                <w:rFonts w:cs="Arial"/>
                <w:color w:val="000000" w:themeColor="accent4"/>
              </w:rPr>
              <w:t xml:space="preserve"> toteuttaa</w:t>
            </w:r>
            <w:r w:rsidR="4B7EA217" w:rsidRPr="007C27F1">
              <w:rPr>
                <w:rFonts w:cs="Arial"/>
                <w:color w:val="000000" w:themeColor="accent4"/>
              </w:rPr>
              <w:t xml:space="preserve"> vaiheittain)</w:t>
            </w:r>
          </w:p>
          <w:p w14:paraId="56A06D81" w14:textId="639FD906" w:rsidR="00C333AE" w:rsidRPr="007C27F1" w:rsidRDefault="00254C24" w:rsidP="007C27F1">
            <w:pPr>
              <w:numPr>
                <w:ilvl w:val="0"/>
                <w:numId w:val="8"/>
              </w:numPr>
              <w:spacing w:line="259" w:lineRule="auto"/>
              <w:ind w:left="340" w:hanging="227"/>
              <w:jc w:val="left"/>
              <w:rPr>
                <w:rFonts w:cs="Arial"/>
                <w:color w:val="000000" w:themeColor="accent4"/>
              </w:rPr>
            </w:pPr>
            <w:r>
              <w:rPr>
                <w:rFonts w:cs="Arial"/>
                <w:color w:val="000000" w:themeColor="accent4"/>
              </w:rPr>
              <w:t>V</w:t>
            </w:r>
            <w:r w:rsidR="67A83F9C" w:rsidRPr="007C27F1">
              <w:rPr>
                <w:rFonts w:cs="Arial"/>
                <w:color w:val="000000" w:themeColor="accent4"/>
              </w:rPr>
              <w:t>iranomaisaloitteinen veroprosenttiehdotus</w:t>
            </w:r>
            <w:r w:rsidR="2478B766" w:rsidRPr="007C27F1">
              <w:rPr>
                <w:rFonts w:cs="Arial"/>
                <w:color w:val="000000" w:themeColor="accent4"/>
              </w:rPr>
              <w:t xml:space="preserve"> voimaan automaattisesti, jos asiakas ei reagoi saamaansa muutosehdotukseen määräajassa (ns. </w:t>
            </w:r>
            <w:r w:rsidR="03CB29FF" w:rsidRPr="007C27F1">
              <w:rPr>
                <w:rFonts w:cs="Arial"/>
                <w:color w:val="000000" w:themeColor="accent4"/>
              </w:rPr>
              <w:t>p</w:t>
            </w:r>
            <w:r w:rsidR="2478B766" w:rsidRPr="007C27F1">
              <w:rPr>
                <w:rFonts w:cs="Arial"/>
                <w:color w:val="000000" w:themeColor="accent4"/>
              </w:rPr>
              <w:t>assiivinen hyväksyntä)</w:t>
            </w:r>
          </w:p>
          <w:p w14:paraId="0C1DC57C" w14:textId="20B21F68" w:rsidR="00683862" w:rsidRPr="008606EC" w:rsidRDefault="00254C24" w:rsidP="007C27F1">
            <w:pPr>
              <w:numPr>
                <w:ilvl w:val="0"/>
                <w:numId w:val="8"/>
              </w:numPr>
              <w:spacing w:line="259" w:lineRule="auto"/>
              <w:ind w:left="340" w:hanging="227"/>
              <w:jc w:val="left"/>
              <w:rPr>
                <w:rFonts w:cs="Arial"/>
              </w:rPr>
            </w:pPr>
            <w:r>
              <w:rPr>
                <w:rFonts w:cs="Arial"/>
                <w:color w:val="000000" w:themeColor="accent4"/>
              </w:rPr>
              <w:t>S</w:t>
            </w:r>
            <w:r w:rsidR="00F16CBD" w:rsidRPr="007C27F1">
              <w:rPr>
                <w:rFonts w:cs="Arial"/>
                <w:color w:val="000000" w:themeColor="accent4"/>
              </w:rPr>
              <w:t>elvitetään edellytyksiä toteuttaa jatkuvan veroprosentin malli</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vAlign w:val="center"/>
          </w:tcPr>
          <w:p w14:paraId="6D2DDDA4" w14:textId="0382F6A3" w:rsidR="00683862" w:rsidRPr="005C019E" w:rsidRDefault="00985ACB" w:rsidP="002100F0">
            <w:pPr>
              <w:jc w:val="center"/>
              <w:rPr>
                <w:rFonts w:cs="Arial"/>
                <w:b/>
                <w:bCs/>
                <w:color w:val="000000"/>
                <w:szCs w:val="22"/>
              </w:rPr>
            </w:pPr>
            <w:r>
              <w:rPr>
                <w:rFonts w:cs="Arial"/>
                <w:b/>
                <w:bCs/>
                <w:color w:val="000000"/>
                <w:szCs w:val="22"/>
              </w:rPr>
              <w:t>2023–2028</w:t>
            </w:r>
          </w:p>
        </w:tc>
      </w:tr>
      <w:tr w:rsidR="00683862" w:rsidRPr="005C019E" w14:paraId="0CE5851F" w14:textId="77777777" w:rsidTr="00ED5E0C">
        <w:trPr>
          <w:trHeight w:val="520"/>
          <w:jc w:val="center"/>
        </w:trPr>
        <w:tc>
          <w:tcPr>
            <w:tcW w:w="8212" w:type="dxa"/>
            <w:tcBorders>
              <w:top w:val="single" w:sz="12" w:space="0" w:color="006600" w:themeColor="accent1"/>
              <w:left w:val="single" w:sz="4" w:space="0" w:color="000000" w:themeColor="accent4"/>
              <w:bottom w:val="single" w:sz="4" w:space="0" w:color="auto"/>
              <w:right w:val="single" w:sz="12" w:space="0" w:color="4A7B4A" w:themeColor="accent5" w:themeShade="BF"/>
            </w:tcBorders>
            <w:shd w:val="clear" w:color="auto" w:fill="C2DAC2"/>
          </w:tcPr>
          <w:p w14:paraId="02870526" w14:textId="77777777" w:rsidR="00683862" w:rsidRDefault="00683862" w:rsidP="00A7778E">
            <w:pPr>
              <w:jc w:val="left"/>
              <w:rPr>
                <w:rFonts w:cs="Arial"/>
                <w:b/>
                <w:bCs/>
                <w:color w:val="000000"/>
                <w:szCs w:val="22"/>
              </w:rPr>
            </w:pPr>
            <w:r w:rsidRPr="00A7778E">
              <w:rPr>
                <w:rFonts w:cs="Arial"/>
                <w:b/>
                <w:color w:val="000000" w:themeColor="accent4"/>
              </w:rPr>
              <w:t>4. Yrittäjän elämän helpottaminen</w:t>
            </w:r>
          </w:p>
          <w:p w14:paraId="4E98C107" w14:textId="5B7F9927" w:rsidR="00972BEC" w:rsidRPr="007C27F1" w:rsidRDefault="00E74A11" w:rsidP="007C27F1">
            <w:pPr>
              <w:numPr>
                <w:ilvl w:val="0"/>
                <w:numId w:val="8"/>
              </w:numPr>
              <w:spacing w:line="259" w:lineRule="auto"/>
              <w:ind w:left="340" w:hanging="227"/>
              <w:jc w:val="left"/>
              <w:rPr>
                <w:rFonts w:cs="Arial"/>
                <w:color w:val="000000" w:themeColor="accent4"/>
              </w:rPr>
            </w:pPr>
            <w:r w:rsidRPr="007C27F1">
              <w:rPr>
                <w:rFonts w:cs="Arial"/>
                <w:color w:val="000000" w:themeColor="accent4"/>
              </w:rPr>
              <w:t>Tavoitte</w:t>
            </w:r>
            <w:r w:rsidR="00972BEC" w:rsidRPr="007C27F1">
              <w:rPr>
                <w:rFonts w:cs="Arial"/>
                <w:color w:val="000000" w:themeColor="accent4"/>
              </w:rPr>
              <w:t>ena on madaltaa kynnystä yritystoiminnan aloittamiseen ja harjoittamiseen keventämällä yrittämiseen liittyvää hallinnollista taakkaa ja selk</w:t>
            </w:r>
            <w:r w:rsidRPr="007C27F1">
              <w:rPr>
                <w:rFonts w:cs="Arial"/>
                <w:color w:val="000000" w:themeColor="accent4"/>
              </w:rPr>
              <w:t>ey</w:t>
            </w:r>
            <w:r w:rsidR="00972BEC" w:rsidRPr="007C27F1">
              <w:rPr>
                <w:rFonts w:cs="Arial"/>
                <w:color w:val="000000" w:themeColor="accent4"/>
              </w:rPr>
              <w:t xml:space="preserve">ttämällä esimerkiksi kevytyrittäjää koskevaa lainsäädäntöä. Tarkoituksena on myös helpottaa yritystoiminnan muutostilanteissa toimimista. </w:t>
            </w:r>
          </w:p>
          <w:p w14:paraId="72EE9202" w14:textId="02EB03AE" w:rsidR="00C968D3" w:rsidRPr="007C27F1" w:rsidRDefault="00D603F0" w:rsidP="007C27F1">
            <w:pPr>
              <w:numPr>
                <w:ilvl w:val="0"/>
                <w:numId w:val="8"/>
              </w:numPr>
              <w:spacing w:line="259" w:lineRule="auto"/>
              <w:ind w:left="340" w:hanging="227"/>
              <w:jc w:val="left"/>
              <w:rPr>
                <w:rFonts w:cs="Arial"/>
                <w:color w:val="000000" w:themeColor="accent4"/>
              </w:rPr>
            </w:pPr>
            <w:r w:rsidRPr="007C27F1">
              <w:rPr>
                <w:rFonts w:cs="Arial"/>
                <w:color w:val="000000" w:themeColor="accent4"/>
              </w:rPr>
              <w:t>S</w:t>
            </w:r>
            <w:r w:rsidR="00C968D3" w:rsidRPr="007C27F1">
              <w:rPr>
                <w:rFonts w:cs="Arial"/>
                <w:color w:val="000000" w:themeColor="accent4"/>
              </w:rPr>
              <w:t>ivutoimista</w:t>
            </w:r>
            <w:r w:rsidR="00115D09">
              <w:rPr>
                <w:rFonts w:cs="Arial"/>
                <w:color w:val="000000" w:themeColor="accent4"/>
              </w:rPr>
              <w:t>/</w:t>
            </w:r>
            <w:r w:rsidR="00C968D3" w:rsidRPr="007C27F1">
              <w:rPr>
                <w:rFonts w:cs="Arial"/>
                <w:color w:val="000000" w:themeColor="accent4"/>
              </w:rPr>
              <w:t xml:space="preserve"> pienimuotoista yrittäjyyttä harjoittavan asiakkaan </w:t>
            </w:r>
            <w:r w:rsidRPr="007C27F1">
              <w:rPr>
                <w:rFonts w:cs="Arial"/>
                <w:color w:val="000000" w:themeColor="accent4"/>
              </w:rPr>
              <w:t xml:space="preserve">tuloverotuksen </w:t>
            </w:r>
            <w:r w:rsidR="00C968D3" w:rsidRPr="007C27F1">
              <w:rPr>
                <w:rFonts w:cs="Arial"/>
                <w:color w:val="000000" w:themeColor="accent4"/>
              </w:rPr>
              <w:t>hallinnolliset velvoitteet ovat toiminnan laajuuteen nähden kohtuullisia.</w:t>
            </w:r>
          </w:p>
          <w:p w14:paraId="2AF640F0" w14:textId="0B76FD36" w:rsidR="00C968D3" w:rsidRPr="007C27F1" w:rsidRDefault="00C968D3" w:rsidP="007C27F1">
            <w:pPr>
              <w:numPr>
                <w:ilvl w:val="0"/>
                <w:numId w:val="8"/>
              </w:numPr>
              <w:spacing w:line="259" w:lineRule="auto"/>
              <w:ind w:left="340" w:hanging="227"/>
              <w:jc w:val="left"/>
              <w:rPr>
                <w:rFonts w:cs="Arial"/>
                <w:color w:val="000000" w:themeColor="accent4"/>
              </w:rPr>
            </w:pPr>
            <w:r w:rsidRPr="007C27F1">
              <w:rPr>
                <w:rFonts w:cs="Arial"/>
                <w:color w:val="000000" w:themeColor="accent4"/>
              </w:rPr>
              <w:t>Yritystoiminnan aloittaminen, keskeyttäminen ja lopettaminen ovat asiakkaille selkeitä toimia</w:t>
            </w:r>
            <w:r w:rsidR="00471810">
              <w:rPr>
                <w:rFonts w:cs="Arial"/>
                <w:color w:val="000000" w:themeColor="accent4"/>
              </w:rPr>
              <w:t xml:space="preserve">, </w:t>
            </w:r>
            <w:r w:rsidR="001171F9" w:rsidRPr="007C27F1">
              <w:rPr>
                <w:rFonts w:cs="Arial"/>
                <w:color w:val="000000" w:themeColor="accent4"/>
              </w:rPr>
              <w:t xml:space="preserve">ja </w:t>
            </w:r>
            <w:r w:rsidRPr="007C27F1">
              <w:rPr>
                <w:rFonts w:cs="Arial"/>
                <w:color w:val="000000" w:themeColor="accent4"/>
              </w:rPr>
              <w:t>ymmärtämättömyydestä johtuv</w:t>
            </w:r>
            <w:r w:rsidR="001171F9" w:rsidRPr="007C27F1">
              <w:rPr>
                <w:rFonts w:cs="Arial"/>
                <w:color w:val="000000" w:themeColor="accent4"/>
              </w:rPr>
              <w:t>at</w:t>
            </w:r>
            <w:r w:rsidRPr="007C27F1">
              <w:rPr>
                <w:rFonts w:cs="Arial"/>
                <w:color w:val="000000" w:themeColor="accent4"/>
              </w:rPr>
              <w:t xml:space="preserve"> sanktio</w:t>
            </w:r>
            <w:r w:rsidR="001171F9" w:rsidRPr="007C27F1">
              <w:rPr>
                <w:rFonts w:cs="Arial"/>
                <w:color w:val="000000" w:themeColor="accent4"/>
              </w:rPr>
              <w:t>t</w:t>
            </w:r>
            <w:r w:rsidRPr="007C27F1">
              <w:rPr>
                <w:rFonts w:cs="Arial"/>
                <w:color w:val="000000" w:themeColor="accent4"/>
              </w:rPr>
              <w:t xml:space="preserve"> </w:t>
            </w:r>
            <w:r w:rsidR="001171F9" w:rsidRPr="007C27F1">
              <w:rPr>
                <w:rFonts w:cs="Arial"/>
                <w:color w:val="000000" w:themeColor="accent4"/>
              </w:rPr>
              <w:t>vähenevät</w:t>
            </w:r>
            <w:r w:rsidRPr="007C27F1">
              <w:rPr>
                <w:rFonts w:cs="Arial"/>
                <w:color w:val="000000" w:themeColor="accent4"/>
              </w:rPr>
              <w:t>.</w:t>
            </w:r>
          </w:p>
          <w:p w14:paraId="6C7989F3" w14:textId="32AF9AE1" w:rsidR="00C968D3" w:rsidRPr="007C27F1" w:rsidRDefault="00C968D3" w:rsidP="007C27F1">
            <w:pPr>
              <w:numPr>
                <w:ilvl w:val="0"/>
                <w:numId w:val="8"/>
              </w:numPr>
              <w:spacing w:line="259" w:lineRule="auto"/>
              <w:ind w:left="340" w:hanging="227"/>
              <w:jc w:val="left"/>
              <w:rPr>
                <w:rFonts w:cs="Arial"/>
                <w:color w:val="000000" w:themeColor="accent4"/>
              </w:rPr>
            </w:pPr>
            <w:r w:rsidRPr="007C27F1">
              <w:rPr>
                <w:rFonts w:cs="Arial"/>
                <w:color w:val="000000" w:themeColor="accent4"/>
              </w:rPr>
              <w:t xml:space="preserve">Kevytyrittäjän asema selkiytyy sekä yrittäjälle itselleen että palveluntarjoajalle. </w:t>
            </w:r>
            <w:r w:rsidR="00ED655E" w:rsidRPr="007C27F1">
              <w:rPr>
                <w:rFonts w:cs="Arial"/>
                <w:color w:val="000000" w:themeColor="accent4"/>
              </w:rPr>
              <w:t>K</w:t>
            </w:r>
            <w:r w:rsidRPr="007C27F1">
              <w:rPr>
                <w:rFonts w:cs="Arial"/>
                <w:color w:val="000000" w:themeColor="accent4"/>
              </w:rPr>
              <w:t xml:space="preserve">äytettävät termit ovat toimijoille selkeitä. Asiakas voi saada yhdenmukaista ja oikeaa ohjausta </w:t>
            </w:r>
            <w:r w:rsidR="00ED655E" w:rsidRPr="007C27F1">
              <w:rPr>
                <w:rFonts w:cs="Arial"/>
                <w:color w:val="000000" w:themeColor="accent4"/>
              </w:rPr>
              <w:t>sekä Verolta että valitsemaltaan</w:t>
            </w:r>
            <w:r w:rsidRPr="007C27F1">
              <w:rPr>
                <w:rFonts w:cs="Arial"/>
                <w:color w:val="000000" w:themeColor="accent4"/>
              </w:rPr>
              <w:t xml:space="preserve"> palveluntarjoajalta.</w:t>
            </w:r>
          </w:p>
          <w:p w14:paraId="10DD463E" w14:textId="6D13E545" w:rsidR="00683862" w:rsidRPr="001171F9" w:rsidRDefault="00C968D3" w:rsidP="00471810">
            <w:pPr>
              <w:numPr>
                <w:ilvl w:val="0"/>
                <w:numId w:val="8"/>
              </w:numPr>
              <w:spacing w:line="259" w:lineRule="auto"/>
              <w:ind w:left="340" w:hanging="227"/>
              <w:jc w:val="left"/>
            </w:pPr>
            <w:r w:rsidRPr="00471810">
              <w:rPr>
                <w:rFonts w:cs="Arial"/>
                <w:color w:val="000000" w:themeColor="accent4"/>
              </w:rPr>
              <w:t xml:space="preserve">Talousvaikeuksiin ajautumassa olevat yrittäjät </w:t>
            </w:r>
            <w:r w:rsidR="00F61EE2" w:rsidRPr="00471810">
              <w:rPr>
                <w:rFonts w:cs="Arial"/>
                <w:color w:val="000000" w:themeColor="accent4"/>
              </w:rPr>
              <w:t>löydetään</w:t>
            </w:r>
            <w:r w:rsidRPr="00471810">
              <w:rPr>
                <w:rFonts w:cs="Arial"/>
                <w:color w:val="000000" w:themeColor="accent4"/>
              </w:rPr>
              <w:t xml:space="preserve"> Verohallinnolla käytettävissä olevan datan perusteella</w:t>
            </w:r>
            <w:r w:rsidR="00F61EE2" w:rsidRPr="00471810">
              <w:rPr>
                <w:rFonts w:cs="Arial"/>
                <w:color w:val="000000" w:themeColor="accent4"/>
              </w:rPr>
              <w:t xml:space="preserve"> ja</w:t>
            </w:r>
            <w:r w:rsidRPr="00471810">
              <w:rPr>
                <w:rFonts w:cs="Arial"/>
                <w:color w:val="000000" w:themeColor="accent4"/>
              </w:rPr>
              <w:t xml:space="preserve"> ohjataan Yrittäjän talousavun neuvontapalvelujen piiriin.</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vAlign w:val="center"/>
          </w:tcPr>
          <w:p w14:paraId="13DC7E49" w14:textId="736DF9A5" w:rsidR="00683862" w:rsidRPr="005C019E" w:rsidRDefault="00985ACB" w:rsidP="002100F0">
            <w:pPr>
              <w:jc w:val="center"/>
              <w:rPr>
                <w:rFonts w:cs="Arial"/>
                <w:b/>
                <w:bCs/>
                <w:color w:val="000000"/>
                <w:szCs w:val="22"/>
              </w:rPr>
            </w:pPr>
            <w:r>
              <w:rPr>
                <w:rFonts w:cs="Arial"/>
                <w:b/>
                <w:bCs/>
                <w:color w:val="000000"/>
                <w:szCs w:val="22"/>
              </w:rPr>
              <w:t>2023–2026</w:t>
            </w:r>
          </w:p>
        </w:tc>
      </w:tr>
    </w:tbl>
    <w:p w14:paraId="4C8DEEFB" w14:textId="6E7E60B2" w:rsidR="00683862" w:rsidRDefault="00683862" w:rsidP="00683862">
      <w:pPr>
        <w:pStyle w:val="Otsikko2"/>
        <w:numPr>
          <w:ilvl w:val="1"/>
          <w:numId w:val="1"/>
        </w:numPr>
      </w:pPr>
      <w:bookmarkStart w:id="13" w:name="_Toc116560493"/>
      <w:r>
        <w:lastRenderedPageBreak/>
        <w:t xml:space="preserve">Muut strategiset </w:t>
      </w:r>
      <w:r w:rsidR="00381EAB">
        <w:t>muutos</w:t>
      </w:r>
      <w:r>
        <w:t>kohteet</w:t>
      </w:r>
      <w:bookmarkEnd w:id="13"/>
    </w:p>
    <w:p w14:paraId="07A3D17C" w14:textId="6BF32CB2" w:rsidR="00E94304" w:rsidRDefault="004D46F9" w:rsidP="00683862">
      <w:pPr>
        <w:rPr>
          <w:rFonts w:eastAsiaTheme="majorEastAsia"/>
        </w:rPr>
      </w:pPr>
      <w:r>
        <w:rPr>
          <w:rFonts w:eastAsiaTheme="majorEastAsia"/>
        </w:rPr>
        <w:t xml:space="preserve">Alla on lueteltu merkittävimmät muut strategiset muutoskohteet, joita edistetään </w:t>
      </w:r>
      <w:r w:rsidR="00254C24">
        <w:rPr>
          <w:rFonts w:eastAsiaTheme="majorEastAsia"/>
        </w:rPr>
        <w:t xml:space="preserve">edellisessä </w:t>
      </w:r>
      <w:r>
        <w:rPr>
          <w:rFonts w:eastAsiaTheme="majorEastAsia"/>
        </w:rPr>
        <w:t>luvussa kuvattujen muutoskohteiden rinnalla.</w:t>
      </w:r>
    </w:p>
    <w:p w14:paraId="234A5108" w14:textId="77777777" w:rsidR="00E94304" w:rsidRPr="00E94304" w:rsidRDefault="00E94304" w:rsidP="00683862">
      <w:pPr>
        <w:rPr>
          <w:rFonts w:eastAsiaTheme="majorEastAsia"/>
        </w:rPr>
      </w:pPr>
    </w:p>
    <w:tbl>
      <w:tblPr>
        <w:tblW w:w="9913" w:type="dxa"/>
        <w:jc w:val="center"/>
        <w:tblCellMar>
          <w:left w:w="70" w:type="dxa"/>
          <w:right w:w="70" w:type="dxa"/>
        </w:tblCellMar>
        <w:tblLook w:val="04A0" w:firstRow="1" w:lastRow="0" w:firstColumn="1" w:lastColumn="0" w:noHBand="0" w:noVBand="1"/>
      </w:tblPr>
      <w:tblGrid>
        <w:gridCol w:w="8212"/>
        <w:gridCol w:w="1701"/>
      </w:tblGrid>
      <w:tr w:rsidR="00683862" w:rsidRPr="00876EF8" w14:paraId="14A8FDDB" w14:textId="77777777" w:rsidTr="004D5BF0">
        <w:trPr>
          <w:trHeight w:val="234"/>
          <w:tblHeader/>
          <w:jc w:val="center"/>
        </w:trPr>
        <w:tc>
          <w:tcPr>
            <w:tcW w:w="8212" w:type="dxa"/>
            <w:tcBorders>
              <w:top w:val="single" w:sz="8" w:space="0" w:color="FFFFFF" w:themeColor="accent3"/>
              <w:left w:val="single" w:sz="8" w:space="0" w:color="FFFFFF" w:themeColor="accent3"/>
              <w:bottom w:val="single" w:sz="4" w:space="0" w:color="000000" w:themeColor="accent4"/>
              <w:right w:val="nil"/>
            </w:tcBorders>
            <w:shd w:val="clear" w:color="auto" w:fill="548235"/>
            <w:vAlign w:val="center"/>
            <w:hideMark/>
          </w:tcPr>
          <w:p w14:paraId="49C8687B" w14:textId="5FDC1F10" w:rsidR="00683862" w:rsidRPr="0095355C" w:rsidRDefault="00C15A19" w:rsidP="002100F0">
            <w:pPr>
              <w:rPr>
                <w:rFonts w:cs="Arial"/>
                <w:b/>
                <w:bCs/>
                <w:color w:val="FFFFFF"/>
                <w:sz w:val="24"/>
                <w:szCs w:val="24"/>
              </w:rPr>
            </w:pPr>
            <w:r>
              <w:rPr>
                <w:rFonts w:cs="Arial"/>
                <w:b/>
                <w:bCs/>
                <w:color w:val="FFFFFF"/>
                <w:sz w:val="24"/>
                <w:szCs w:val="24"/>
              </w:rPr>
              <w:t>MUUTOSKOHDE</w:t>
            </w:r>
          </w:p>
        </w:tc>
        <w:tc>
          <w:tcPr>
            <w:tcW w:w="1701" w:type="dxa"/>
            <w:tcBorders>
              <w:top w:val="single" w:sz="8" w:space="0" w:color="FFFFFF" w:themeColor="accent3"/>
              <w:left w:val="single" w:sz="8" w:space="0" w:color="FFFFFF" w:themeColor="accent3"/>
              <w:bottom w:val="single" w:sz="12" w:space="0" w:color="4A7B4A" w:themeColor="accent5" w:themeShade="BF"/>
              <w:right w:val="nil"/>
            </w:tcBorders>
            <w:shd w:val="clear" w:color="auto" w:fill="548235"/>
            <w:vAlign w:val="center"/>
            <w:hideMark/>
          </w:tcPr>
          <w:p w14:paraId="285D0C2E" w14:textId="77777777" w:rsidR="00683862" w:rsidRPr="0095355C" w:rsidRDefault="00683862" w:rsidP="002100F0">
            <w:pPr>
              <w:rPr>
                <w:rFonts w:cs="Arial"/>
                <w:b/>
                <w:bCs/>
                <w:color w:val="FFFFFF"/>
                <w:sz w:val="24"/>
                <w:szCs w:val="24"/>
              </w:rPr>
            </w:pPr>
            <w:r w:rsidRPr="0095355C">
              <w:rPr>
                <w:rFonts w:cs="Arial"/>
                <w:b/>
                <w:bCs/>
                <w:color w:val="FFFFFF"/>
                <w:sz w:val="24"/>
                <w:szCs w:val="24"/>
              </w:rPr>
              <w:t>AJANKOHTA</w:t>
            </w:r>
          </w:p>
        </w:tc>
      </w:tr>
      <w:tr w:rsidR="00683862" w:rsidRPr="00876EF8" w14:paraId="6943EAB1" w14:textId="77777777" w:rsidTr="001D549E">
        <w:trPr>
          <w:trHeight w:val="686"/>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tcPr>
          <w:p w14:paraId="1D14FEF4" w14:textId="77777777" w:rsidR="00683862" w:rsidRDefault="00683862" w:rsidP="002100F0">
            <w:pPr>
              <w:rPr>
                <w:rFonts w:cs="Arial"/>
                <w:b/>
                <w:bCs/>
                <w:color w:val="000000"/>
                <w:szCs w:val="22"/>
              </w:rPr>
            </w:pPr>
            <w:r>
              <w:rPr>
                <w:rFonts w:cs="Arial"/>
                <w:b/>
                <w:bCs/>
                <w:color w:val="000000"/>
                <w:szCs w:val="22"/>
              </w:rPr>
              <w:t xml:space="preserve">1. Kuolinpesän asioinnin helpottaminen </w:t>
            </w:r>
          </w:p>
          <w:p w14:paraId="3A1D5B0B" w14:textId="7A1BB7DF" w:rsidR="00897D38" w:rsidRPr="003C54FB" w:rsidRDefault="00254C24" w:rsidP="003C54FB">
            <w:pPr>
              <w:numPr>
                <w:ilvl w:val="0"/>
                <w:numId w:val="8"/>
              </w:numPr>
              <w:spacing w:line="259" w:lineRule="auto"/>
              <w:ind w:left="340" w:hanging="227"/>
              <w:jc w:val="left"/>
              <w:rPr>
                <w:rFonts w:cs="Arial"/>
                <w:color w:val="000000" w:themeColor="accent4"/>
              </w:rPr>
            </w:pPr>
            <w:r>
              <w:rPr>
                <w:rFonts w:cs="Arial"/>
                <w:color w:val="000000" w:themeColor="accent4"/>
              </w:rPr>
              <w:t>K</w:t>
            </w:r>
            <w:r w:rsidR="00897D38" w:rsidRPr="003C54FB">
              <w:rPr>
                <w:rFonts w:cs="Arial"/>
                <w:color w:val="000000" w:themeColor="accent4"/>
              </w:rPr>
              <w:t>uolinpesien asioiden hoitamista helpottavien prosessivaiheiden digitalisoimisen edistäminen ja digitaalisten ratkaisujen kehittäminen yhdessä muiden viranomaisten ja palveluorganisaatioiden kanssa</w:t>
            </w:r>
          </w:p>
          <w:p w14:paraId="49858ACA" w14:textId="3CF9A601" w:rsidR="0027237F" w:rsidRDefault="00254C24" w:rsidP="003C54FB">
            <w:pPr>
              <w:numPr>
                <w:ilvl w:val="0"/>
                <w:numId w:val="8"/>
              </w:numPr>
              <w:spacing w:line="259" w:lineRule="auto"/>
              <w:ind w:left="340" w:hanging="227"/>
              <w:jc w:val="left"/>
              <w:rPr>
                <w:rFonts w:cs="Arial"/>
                <w:color w:val="000000" w:themeColor="accent4"/>
              </w:rPr>
            </w:pPr>
            <w:r>
              <w:rPr>
                <w:rFonts w:cs="Arial"/>
                <w:color w:val="000000" w:themeColor="accent4"/>
              </w:rPr>
              <w:t>K</w:t>
            </w:r>
            <w:r w:rsidR="0051469F">
              <w:rPr>
                <w:rFonts w:cs="Arial"/>
                <w:color w:val="000000" w:themeColor="accent4"/>
              </w:rPr>
              <w:t>uolinpesien sähköisen asioinnin mahdollistaminen</w:t>
            </w:r>
          </w:p>
          <w:p w14:paraId="321F766D" w14:textId="66A10F96" w:rsidR="0027237F" w:rsidRPr="003C54FB" w:rsidRDefault="00254C24" w:rsidP="003C54FB">
            <w:pPr>
              <w:numPr>
                <w:ilvl w:val="0"/>
                <w:numId w:val="8"/>
              </w:numPr>
              <w:spacing w:line="259" w:lineRule="auto"/>
              <w:ind w:left="340" w:hanging="227"/>
              <w:jc w:val="left"/>
              <w:rPr>
                <w:rFonts w:cs="Arial"/>
                <w:color w:val="000000" w:themeColor="accent4"/>
              </w:rPr>
            </w:pPr>
            <w:r>
              <w:rPr>
                <w:rFonts w:cs="Arial"/>
                <w:color w:val="000000" w:themeColor="accent4"/>
              </w:rPr>
              <w:t>S</w:t>
            </w:r>
            <w:r w:rsidR="0051469F">
              <w:rPr>
                <w:rFonts w:cs="Arial"/>
                <w:color w:val="000000" w:themeColor="accent4"/>
              </w:rPr>
              <w:t xml:space="preserve">ähköinen perukirja </w:t>
            </w:r>
            <w:r w:rsidR="0051469F" w:rsidRPr="003C54FB">
              <w:rPr>
                <w:rFonts w:cs="Arial"/>
                <w:color w:val="000000" w:themeColor="accent4"/>
              </w:rPr>
              <w:t>mahdolliseksi</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7C0F1274" w14:textId="648889FD" w:rsidR="00683862" w:rsidRDefault="00985ACB" w:rsidP="002100F0">
            <w:pPr>
              <w:jc w:val="center"/>
              <w:rPr>
                <w:rFonts w:cs="Arial"/>
                <w:b/>
                <w:bCs/>
                <w:color w:val="000000"/>
                <w:szCs w:val="22"/>
              </w:rPr>
            </w:pPr>
            <w:r>
              <w:rPr>
                <w:rFonts w:cs="Arial"/>
                <w:b/>
                <w:bCs/>
                <w:color w:val="000000"/>
                <w:szCs w:val="22"/>
              </w:rPr>
              <w:t>2022–2027</w:t>
            </w:r>
          </w:p>
        </w:tc>
      </w:tr>
      <w:tr w:rsidR="0016486E" w:rsidRPr="00876EF8" w14:paraId="7A27146C" w14:textId="77777777" w:rsidTr="001D549E">
        <w:trPr>
          <w:trHeight w:val="686"/>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2941EA2A" w14:textId="74E964E0" w:rsidR="0016486E" w:rsidRDefault="00251792" w:rsidP="002100F0">
            <w:pPr>
              <w:rPr>
                <w:rFonts w:cs="Arial"/>
                <w:b/>
                <w:bCs/>
                <w:color w:val="000000"/>
                <w:szCs w:val="22"/>
              </w:rPr>
            </w:pPr>
            <w:r>
              <w:rPr>
                <w:rFonts w:cs="Arial"/>
                <w:b/>
                <w:bCs/>
                <w:color w:val="000000"/>
                <w:szCs w:val="22"/>
              </w:rPr>
              <w:t>2</w:t>
            </w:r>
            <w:r w:rsidR="0016486E">
              <w:rPr>
                <w:rFonts w:cs="Arial"/>
                <w:b/>
                <w:bCs/>
                <w:color w:val="000000"/>
                <w:szCs w:val="22"/>
              </w:rPr>
              <w:t>. Maksujen kohdistamisen kokonaisuudistus</w:t>
            </w:r>
          </w:p>
          <w:p w14:paraId="75920FEB" w14:textId="543B225D" w:rsidR="0016486E" w:rsidRPr="001D549E" w:rsidRDefault="00946FB6" w:rsidP="001D549E">
            <w:pPr>
              <w:numPr>
                <w:ilvl w:val="0"/>
                <w:numId w:val="8"/>
              </w:numPr>
              <w:spacing w:line="259" w:lineRule="auto"/>
              <w:ind w:left="340" w:hanging="227"/>
              <w:jc w:val="left"/>
              <w:rPr>
                <w:rFonts w:cs="Arial"/>
                <w:color w:val="000000" w:themeColor="accent4"/>
              </w:rPr>
            </w:pPr>
            <w:r w:rsidRPr="003B17CA">
              <w:rPr>
                <w:rFonts w:cs="Arial"/>
                <w:color w:val="000000" w:themeColor="accent4"/>
              </w:rPr>
              <w:t>Helpotetaan asiakkaiden verojen maksamista ja yksinkertaistetaan maksujen käyttöä</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7F79AE77" w14:textId="7C7CD609" w:rsidR="0016486E" w:rsidRPr="005C019E" w:rsidRDefault="00985ACB" w:rsidP="002100F0">
            <w:pPr>
              <w:jc w:val="center"/>
              <w:rPr>
                <w:rFonts w:cs="Arial"/>
                <w:b/>
                <w:bCs/>
                <w:color w:val="000000"/>
                <w:szCs w:val="22"/>
              </w:rPr>
            </w:pPr>
            <w:r>
              <w:rPr>
                <w:rFonts w:cs="Arial"/>
                <w:b/>
                <w:bCs/>
                <w:color w:val="000000"/>
                <w:szCs w:val="22"/>
              </w:rPr>
              <w:t>2023–2026</w:t>
            </w:r>
          </w:p>
        </w:tc>
      </w:tr>
      <w:tr w:rsidR="008C5E7D" w:rsidRPr="00876EF8" w14:paraId="1B5279AD" w14:textId="77777777" w:rsidTr="001D549E">
        <w:trPr>
          <w:trHeight w:val="686"/>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vAlign w:val="center"/>
          </w:tcPr>
          <w:p w14:paraId="61C65DE0" w14:textId="1773F573" w:rsidR="008C5E7D" w:rsidRPr="003A156F" w:rsidRDefault="00251792" w:rsidP="008C5E7D">
            <w:pPr>
              <w:rPr>
                <w:rFonts w:cs="Arial"/>
                <w:b/>
              </w:rPr>
            </w:pPr>
            <w:r w:rsidRPr="003A156F">
              <w:rPr>
                <w:rFonts w:cs="Arial"/>
                <w:b/>
              </w:rPr>
              <w:t>3</w:t>
            </w:r>
            <w:r w:rsidR="008C5E7D" w:rsidRPr="003A156F">
              <w:rPr>
                <w:rFonts w:cs="Arial"/>
                <w:b/>
              </w:rPr>
              <w:t>. Reaaliaikaiset tietoluovutukset</w:t>
            </w:r>
          </w:p>
          <w:p w14:paraId="260768AC" w14:textId="53B65E8C" w:rsidR="008C5E7D" w:rsidRPr="003A156F" w:rsidRDefault="004A44A3" w:rsidP="001D549E">
            <w:pPr>
              <w:numPr>
                <w:ilvl w:val="0"/>
                <w:numId w:val="8"/>
              </w:numPr>
              <w:spacing w:line="259" w:lineRule="auto"/>
              <w:ind w:left="340" w:hanging="227"/>
              <w:jc w:val="left"/>
              <w:rPr>
                <w:rFonts w:cs="Arial"/>
              </w:rPr>
            </w:pPr>
            <w:r w:rsidRPr="003A156F">
              <w:rPr>
                <w:rFonts w:cs="Arial"/>
              </w:rPr>
              <w:t>Uudistetaan tietoluovutusjärjestelmä vastaamaan voimassa olevia säädö</w:t>
            </w:r>
            <w:r w:rsidR="00C5465A" w:rsidRPr="003A156F">
              <w:rPr>
                <w:rFonts w:cs="Arial"/>
              </w:rPr>
              <w:t>ksiä</w:t>
            </w:r>
            <w:r w:rsidRPr="003A156F">
              <w:rPr>
                <w:rFonts w:cs="Arial"/>
              </w:rPr>
              <w:t>. Muutetaan osa nykyisistä tietopalvelun eräkyselyratkaisuista kansalliseen palveluväylään perustuviksi reaaliaikaisiksi palvelurajapintaratkaisuiksi.</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05474C9B" w14:textId="20542850" w:rsidR="008C5E7D" w:rsidRPr="005C019E" w:rsidRDefault="00985ACB" w:rsidP="008C5E7D">
            <w:pPr>
              <w:jc w:val="center"/>
              <w:rPr>
                <w:rFonts w:cs="Arial"/>
                <w:b/>
                <w:bCs/>
                <w:color w:val="000000"/>
                <w:szCs w:val="22"/>
              </w:rPr>
            </w:pPr>
            <w:r w:rsidRPr="005C019E">
              <w:rPr>
                <w:rFonts w:cs="Arial"/>
                <w:b/>
                <w:bCs/>
                <w:color w:val="000000"/>
                <w:szCs w:val="22"/>
              </w:rPr>
              <w:t>2022–2024</w:t>
            </w:r>
          </w:p>
        </w:tc>
      </w:tr>
      <w:tr w:rsidR="00683862" w:rsidRPr="00876EF8" w14:paraId="3DAA49CF" w14:textId="77777777" w:rsidTr="001D549E">
        <w:trPr>
          <w:trHeight w:val="890"/>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tcPr>
          <w:p w14:paraId="14EBEB20" w14:textId="372BE17C" w:rsidR="00683862" w:rsidRPr="003A156F" w:rsidRDefault="00251792" w:rsidP="002100F0">
            <w:pPr>
              <w:rPr>
                <w:rFonts w:cs="Arial"/>
                <w:highlight w:val="green"/>
              </w:rPr>
            </w:pPr>
            <w:r w:rsidRPr="003A156F">
              <w:rPr>
                <w:rFonts w:cs="Arial"/>
                <w:b/>
                <w:bCs/>
              </w:rPr>
              <w:t>4</w:t>
            </w:r>
            <w:r w:rsidR="24941444" w:rsidRPr="003A156F">
              <w:rPr>
                <w:rFonts w:cs="Arial"/>
                <w:b/>
                <w:bCs/>
              </w:rPr>
              <w:t xml:space="preserve">. </w:t>
            </w:r>
            <w:r w:rsidR="75D53FE1" w:rsidRPr="003A156F">
              <w:rPr>
                <w:rFonts w:cs="Arial"/>
                <w:b/>
                <w:bCs/>
              </w:rPr>
              <w:t>Ohjauksen ja valvonnan suunnittelun kehittäminen</w:t>
            </w:r>
            <w:r w:rsidR="24941444" w:rsidRPr="003A156F">
              <w:rPr>
                <w:rFonts w:cs="Arial"/>
                <w:b/>
                <w:bCs/>
              </w:rPr>
              <w:t> </w:t>
            </w:r>
          </w:p>
          <w:p w14:paraId="188EE17D" w14:textId="2FAC1787" w:rsidR="46651711" w:rsidRPr="003A156F" w:rsidRDefault="166A63FE" w:rsidP="003C54FB">
            <w:pPr>
              <w:numPr>
                <w:ilvl w:val="0"/>
                <w:numId w:val="8"/>
              </w:numPr>
              <w:spacing w:line="259" w:lineRule="auto"/>
              <w:ind w:left="340" w:hanging="227"/>
              <w:jc w:val="left"/>
              <w:rPr>
                <w:rFonts w:cs="Arial"/>
              </w:rPr>
            </w:pPr>
            <w:r w:rsidRPr="003A156F">
              <w:rPr>
                <w:rFonts w:cs="Arial"/>
              </w:rPr>
              <w:t>Muutoksella tavoitellaan ohjaus- ja valvontasuunnittelun sekä seurannan ratkaisujen toteuttamista niin, että välineet mahdollistavat tietoon pohjautuvan priorisoidun ohjaus- ja valvontasuunnitelman muodostamisen ja seurantaan perustuvan reagoinnin toiminnan suuntaamisessa</w:t>
            </w:r>
          </w:p>
          <w:p w14:paraId="512F0DAB" w14:textId="25E0AFFF" w:rsidR="46651711" w:rsidRPr="003A156F" w:rsidRDefault="166A63FE" w:rsidP="003C54FB">
            <w:pPr>
              <w:numPr>
                <w:ilvl w:val="0"/>
                <w:numId w:val="8"/>
              </w:numPr>
              <w:spacing w:line="259" w:lineRule="auto"/>
              <w:ind w:left="340" w:hanging="227"/>
              <w:jc w:val="left"/>
              <w:rPr>
                <w:rFonts w:cs="Arial"/>
              </w:rPr>
            </w:pPr>
            <w:r w:rsidRPr="003A156F">
              <w:rPr>
                <w:rFonts w:cs="Arial"/>
              </w:rPr>
              <w:t>Muutos lisää ohjaus- ja valvontasuunnittelun läpinäkyvyyttä ja vaikuttavuutta.</w:t>
            </w:r>
          </w:p>
          <w:p w14:paraId="7A325205" w14:textId="5C7D19BB" w:rsidR="00683862" w:rsidRPr="003A156F" w:rsidRDefault="166A63FE" w:rsidP="001D549E">
            <w:pPr>
              <w:numPr>
                <w:ilvl w:val="0"/>
                <w:numId w:val="8"/>
              </w:numPr>
              <w:spacing w:line="259" w:lineRule="auto"/>
              <w:ind w:left="340" w:hanging="227"/>
              <w:jc w:val="left"/>
              <w:rPr>
                <w:rFonts w:cs="Arial"/>
              </w:rPr>
            </w:pPr>
            <w:r w:rsidRPr="003A156F">
              <w:rPr>
                <w:rFonts w:cs="Arial"/>
              </w:rPr>
              <w:t>Muutos koostuu osaratkaisuista, jotka tuottavat yhdessä tiedon tuottamisen, tiedon hyödyntämisen ja tiedon raportoinnin kokonaisuuden, joka mahdollistaa Verohallintoaloitteisen tekemisen tehokkaan ohjaamisen</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77817D21" w14:textId="7B5B9AB4" w:rsidR="00683862" w:rsidRPr="005C019E" w:rsidRDefault="00985ACB" w:rsidP="002100F0">
            <w:pPr>
              <w:jc w:val="center"/>
              <w:rPr>
                <w:rFonts w:cs="Arial"/>
                <w:b/>
                <w:bCs/>
                <w:color w:val="000000"/>
                <w:szCs w:val="22"/>
              </w:rPr>
            </w:pPr>
            <w:r>
              <w:rPr>
                <w:rFonts w:cs="Arial"/>
                <w:b/>
                <w:bCs/>
                <w:color w:val="000000"/>
                <w:szCs w:val="22"/>
              </w:rPr>
              <w:t>2022–2026</w:t>
            </w:r>
          </w:p>
        </w:tc>
      </w:tr>
      <w:tr w:rsidR="61E89FC0" w14:paraId="4D1DB0A9" w14:textId="77777777" w:rsidTr="001D549E">
        <w:trPr>
          <w:trHeight w:val="890"/>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tcPr>
          <w:p w14:paraId="2CA844DB" w14:textId="42AE4CEE" w:rsidR="1A8725A7" w:rsidRDefault="00251792" w:rsidP="61E89FC0">
            <w:pPr>
              <w:spacing w:line="259" w:lineRule="auto"/>
              <w:rPr>
                <w:rFonts w:cs="Arial"/>
                <w:b/>
                <w:bCs/>
                <w:color w:val="000000" w:themeColor="accent4"/>
              </w:rPr>
            </w:pPr>
            <w:r>
              <w:rPr>
                <w:rFonts w:cs="Arial"/>
                <w:b/>
                <w:bCs/>
                <w:color w:val="000000" w:themeColor="accent4"/>
              </w:rPr>
              <w:t>5</w:t>
            </w:r>
            <w:r w:rsidR="1A8725A7" w:rsidRPr="61E89FC0">
              <w:rPr>
                <w:rFonts w:cs="Arial"/>
                <w:b/>
                <w:bCs/>
                <w:color w:val="000000" w:themeColor="accent4"/>
              </w:rPr>
              <w:t>. Kumppanimalli</w:t>
            </w:r>
          </w:p>
          <w:p w14:paraId="6ABF2C64" w14:textId="27CA2FE8" w:rsidR="61E89FC0" w:rsidRPr="001D549E" w:rsidRDefault="26F4BE51" w:rsidP="00B93C6E">
            <w:pPr>
              <w:numPr>
                <w:ilvl w:val="0"/>
                <w:numId w:val="8"/>
              </w:numPr>
              <w:spacing w:line="259" w:lineRule="auto"/>
              <w:ind w:left="340" w:hanging="227"/>
              <w:jc w:val="left"/>
              <w:rPr>
                <w:rFonts w:eastAsia="Arial" w:cs="Arial"/>
                <w:color w:val="000000" w:themeColor="accent4"/>
                <w:szCs w:val="22"/>
              </w:rPr>
            </w:pPr>
            <w:r w:rsidRPr="001D549E">
              <w:rPr>
                <w:rFonts w:cs="Arial"/>
                <w:color w:val="000000" w:themeColor="accent4"/>
              </w:rPr>
              <w:t>Verohallinto tarjoaa kohdennettua palvelua ja ohjausta puolesta toimijoille (kumppaneille)</w:t>
            </w:r>
            <w:r w:rsidR="003B2D83">
              <w:rPr>
                <w:rFonts w:cs="Arial"/>
                <w:color w:val="000000" w:themeColor="accent4"/>
              </w:rPr>
              <w:t xml:space="preserve">. </w:t>
            </w:r>
            <w:r w:rsidRPr="001D549E">
              <w:rPr>
                <w:rFonts w:cs="Arial"/>
                <w:color w:val="000000" w:themeColor="accent4"/>
              </w:rPr>
              <w:t>Tavoitellaan ensisijaisesti skaalautuvaa kumppanimallia ja pyritään löytämään teknispainotteisia ratkaisuja kumppanimallin toteuttamiseksi</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78677435" w14:textId="4831A411" w:rsidR="26F4BE51" w:rsidRDefault="00985ACB" w:rsidP="61E89FC0">
            <w:pPr>
              <w:jc w:val="center"/>
              <w:rPr>
                <w:b/>
                <w:bCs/>
                <w:color w:val="000000" w:themeColor="accent4"/>
                <w:szCs w:val="22"/>
              </w:rPr>
            </w:pPr>
            <w:r w:rsidRPr="61E89FC0">
              <w:rPr>
                <w:b/>
                <w:bCs/>
                <w:color w:val="000000" w:themeColor="accent4"/>
                <w:szCs w:val="22"/>
              </w:rPr>
              <w:t>2023–2026</w:t>
            </w:r>
          </w:p>
        </w:tc>
      </w:tr>
      <w:tr w:rsidR="61E89FC0" w14:paraId="3EAAD933" w14:textId="77777777" w:rsidTr="001D549E">
        <w:trPr>
          <w:trHeight w:val="890"/>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tcPr>
          <w:p w14:paraId="477E76B9" w14:textId="77777777" w:rsidR="001D549E" w:rsidRDefault="00251792" w:rsidP="61E89FC0">
            <w:pPr>
              <w:spacing w:line="259" w:lineRule="auto"/>
              <w:rPr>
                <w:rFonts w:cs="Arial"/>
                <w:b/>
                <w:bCs/>
                <w:color w:val="000000" w:themeColor="accent4"/>
              </w:rPr>
            </w:pPr>
            <w:r>
              <w:rPr>
                <w:rFonts w:cs="Arial"/>
                <w:b/>
                <w:bCs/>
                <w:color w:val="000000" w:themeColor="accent4"/>
              </w:rPr>
              <w:t>6</w:t>
            </w:r>
            <w:r w:rsidR="1A8725A7" w:rsidRPr="61E89FC0">
              <w:rPr>
                <w:rFonts w:cs="Arial"/>
                <w:b/>
                <w:bCs/>
                <w:color w:val="000000" w:themeColor="accent4"/>
              </w:rPr>
              <w:t>.</w:t>
            </w:r>
            <w:r w:rsidR="004E0381">
              <w:rPr>
                <w:rFonts w:cs="Arial"/>
                <w:b/>
                <w:bCs/>
                <w:color w:val="000000" w:themeColor="accent4"/>
              </w:rPr>
              <w:t xml:space="preserve"> </w:t>
            </w:r>
            <w:r w:rsidR="1A8725A7" w:rsidRPr="61E89FC0">
              <w:rPr>
                <w:rFonts w:cs="Arial"/>
                <w:b/>
                <w:bCs/>
                <w:color w:val="000000" w:themeColor="accent4"/>
              </w:rPr>
              <w:t>Verotuksen integroiminen liiketoimintaan ja taloustiedon läpinäkyvyyden</w:t>
            </w:r>
          </w:p>
          <w:p w14:paraId="4E3D8D99" w14:textId="07F28BF1" w:rsidR="1A8725A7" w:rsidRDefault="001D549E" w:rsidP="001D549E">
            <w:pPr>
              <w:spacing w:line="259" w:lineRule="auto"/>
              <w:ind w:left="113"/>
              <w:rPr>
                <w:rFonts w:cs="Arial"/>
                <w:b/>
                <w:bCs/>
                <w:color w:val="000000" w:themeColor="accent4"/>
              </w:rPr>
            </w:pPr>
            <w:r>
              <w:rPr>
                <w:rFonts w:cs="Arial"/>
                <w:b/>
                <w:bCs/>
                <w:color w:val="000000" w:themeColor="accent4"/>
              </w:rPr>
              <w:t xml:space="preserve">  </w:t>
            </w:r>
            <w:r w:rsidR="1A8725A7" w:rsidRPr="61E89FC0">
              <w:rPr>
                <w:rFonts w:cs="Arial"/>
                <w:b/>
                <w:bCs/>
                <w:color w:val="000000" w:themeColor="accent4"/>
              </w:rPr>
              <w:t xml:space="preserve"> lisääminen</w:t>
            </w:r>
          </w:p>
          <w:p w14:paraId="2BDD2132" w14:textId="2251069B" w:rsidR="7465FCA7" w:rsidRPr="001D549E" w:rsidRDefault="7465FCA7" w:rsidP="001D549E">
            <w:pPr>
              <w:numPr>
                <w:ilvl w:val="0"/>
                <w:numId w:val="8"/>
              </w:numPr>
              <w:spacing w:line="259" w:lineRule="auto"/>
              <w:ind w:left="340" w:hanging="227"/>
              <w:jc w:val="left"/>
              <w:rPr>
                <w:rFonts w:cs="Arial"/>
                <w:color w:val="000000" w:themeColor="accent4"/>
              </w:rPr>
            </w:pPr>
            <w:r w:rsidRPr="61E89FC0">
              <w:rPr>
                <w:rFonts w:cs="Arial"/>
                <w:color w:val="000000" w:themeColor="accent4"/>
              </w:rPr>
              <w:t xml:space="preserve">Kartoitetaan </w:t>
            </w:r>
            <w:r w:rsidR="00985ACB" w:rsidRPr="61E89FC0">
              <w:rPr>
                <w:rFonts w:cs="Arial"/>
                <w:color w:val="000000" w:themeColor="accent4"/>
              </w:rPr>
              <w:t>työnantaj</w:t>
            </w:r>
            <w:r w:rsidR="00985ACB">
              <w:rPr>
                <w:rFonts w:cs="Arial"/>
                <w:color w:val="000000" w:themeColor="accent4"/>
              </w:rPr>
              <w:t>uuteen</w:t>
            </w:r>
            <w:r w:rsidRPr="61E89FC0">
              <w:rPr>
                <w:rFonts w:cs="Arial"/>
                <w:color w:val="000000" w:themeColor="accent4"/>
              </w:rPr>
              <w:t xml:space="preserve"> liittyv</w:t>
            </w:r>
            <w:r w:rsidR="1E69FA4D" w:rsidRPr="61E89FC0">
              <w:rPr>
                <w:rFonts w:cs="Arial"/>
                <w:color w:val="000000" w:themeColor="accent4"/>
              </w:rPr>
              <w:t>iä haasteita,</w:t>
            </w:r>
            <w:r w:rsidRPr="61E89FC0">
              <w:rPr>
                <w:rFonts w:cs="Arial"/>
                <w:color w:val="000000" w:themeColor="accent4"/>
              </w:rPr>
              <w:t xml:space="preserve"> liiketoimintaympäristöä</w:t>
            </w:r>
            <w:r w:rsidR="6BB908BD" w:rsidRPr="61E89FC0">
              <w:rPr>
                <w:rFonts w:cs="Arial"/>
                <w:color w:val="000000" w:themeColor="accent4"/>
              </w:rPr>
              <w:t xml:space="preserve"> sekä </w:t>
            </w:r>
            <w:r w:rsidR="452807A7" w:rsidRPr="61E89FC0">
              <w:rPr>
                <w:rFonts w:cs="Arial"/>
                <w:color w:val="000000" w:themeColor="accent4"/>
              </w:rPr>
              <w:t>elinkaarta</w:t>
            </w:r>
            <w:r w:rsidRPr="61E89FC0">
              <w:rPr>
                <w:rFonts w:cs="Arial"/>
                <w:color w:val="000000" w:themeColor="accent4"/>
              </w:rPr>
              <w:t xml:space="preserve">. </w:t>
            </w:r>
            <w:r w:rsidR="547024AE" w:rsidRPr="61E89FC0">
              <w:rPr>
                <w:rFonts w:cs="Arial"/>
                <w:color w:val="000000" w:themeColor="accent4"/>
              </w:rPr>
              <w:t xml:space="preserve">Ohjataan </w:t>
            </w:r>
            <w:r w:rsidRPr="61E89FC0">
              <w:rPr>
                <w:rFonts w:cs="Arial"/>
                <w:color w:val="000000" w:themeColor="accent4"/>
              </w:rPr>
              <w:t>työnantajuutta</w:t>
            </w:r>
            <w:r w:rsidR="5DC3A242" w:rsidRPr="61E89FC0">
              <w:rPr>
                <w:rFonts w:cs="Arial"/>
                <w:color w:val="000000" w:themeColor="accent4"/>
              </w:rPr>
              <w:t xml:space="preserve"> </w:t>
            </w:r>
            <w:r w:rsidRPr="61E89FC0">
              <w:rPr>
                <w:rFonts w:cs="Arial"/>
                <w:color w:val="000000" w:themeColor="accent4"/>
              </w:rPr>
              <w:t>kokonaisuutena, joka huomioi asiakka</w:t>
            </w:r>
            <w:r w:rsidR="00571F7B">
              <w:rPr>
                <w:rFonts w:cs="Arial"/>
                <w:color w:val="000000" w:themeColor="accent4"/>
              </w:rPr>
              <w:t>iden asiointi- ja palvelu</w:t>
            </w:r>
            <w:r w:rsidRPr="61E89FC0">
              <w:rPr>
                <w:rFonts w:cs="Arial"/>
                <w:color w:val="000000" w:themeColor="accent4"/>
              </w:rPr>
              <w:t>tarpeet sekä Verohallinnon ohjauksen ja valvonnan tarpeet.</w:t>
            </w:r>
          </w:p>
          <w:p w14:paraId="426A567B" w14:textId="24FCA7C9" w:rsidR="2505236A" w:rsidRPr="001D549E" w:rsidRDefault="2505236A" w:rsidP="001D549E">
            <w:pPr>
              <w:numPr>
                <w:ilvl w:val="0"/>
                <w:numId w:val="8"/>
              </w:numPr>
              <w:spacing w:line="259" w:lineRule="auto"/>
              <w:ind w:left="340" w:hanging="227"/>
              <w:jc w:val="left"/>
              <w:rPr>
                <w:rFonts w:cs="Arial"/>
                <w:color w:val="000000" w:themeColor="accent4"/>
              </w:rPr>
            </w:pPr>
            <w:r w:rsidRPr="001D549E">
              <w:rPr>
                <w:rFonts w:cs="Arial"/>
                <w:color w:val="000000" w:themeColor="accent4"/>
              </w:rPr>
              <w:t>Edistetään verolaskelmien muodostumista automaatiossa osana kirjanpidosta laadittua tilinpäätöstä</w:t>
            </w:r>
          </w:p>
          <w:p w14:paraId="6937E981" w14:textId="33F1241D" w:rsidR="143DA6D2" w:rsidRPr="00571F7B" w:rsidRDefault="143DA6D2" w:rsidP="00571F7B">
            <w:pPr>
              <w:numPr>
                <w:ilvl w:val="0"/>
                <w:numId w:val="8"/>
              </w:numPr>
              <w:spacing w:line="259" w:lineRule="auto"/>
              <w:ind w:left="340" w:hanging="227"/>
              <w:jc w:val="left"/>
              <w:rPr>
                <w:rFonts w:cs="Arial"/>
                <w:color w:val="000000" w:themeColor="accent4"/>
              </w:rPr>
            </w:pPr>
            <w:r w:rsidRPr="001D549E">
              <w:rPr>
                <w:rFonts w:cs="Arial"/>
                <w:color w:val="000000" w:themeColor="accent4"/>
              </w:rPr>
              <w:t>Edistetään v</w:t>
            </w:r>
            <w:r w:rsidR="72FABB84" w:rsidRPr="001D549E">
              <w:rPr>
                <w:rFonts w:cs="Arial"/>
                <w:color w:val="000000" w:themeColor="accent4"/>
              </w:rPr>
              <w:t>eronjalanjäljen ja verokäyttäytymisen kuvaami</w:t>
            </w:r>
            <w:r w:rsidR="4F68DCCF" w:rsidRPr="001D549E">
              <w:rPr>
                <w:rFonts w:cs="Arial"/>
                <w:color w:val="000000" w:themeColor="accent4"/>
              </w:rPr>
              <w:t>sta</w:t>
            </w:r>
            <w:r w:rsidR="72FABB84" w:rsidRPr="001D549E">
              <w:rPr>
                <w:rFonts w:cs="Arial"/>
                <w:color w:val="000000" w:themeColor="accent4"/>
              </w:rPr>
              <w:t xml:space="preserve"> </w:t>
            </w:r>
            <w:r w:rsidR="00985ACB" w:rsidRPr="001D549E">
              <w:rPr>
                <w:rFonts w:cs="Arial"/>
                <w:color w:val="000000" w:themeColor="accent4"/>
              </w:rPr>
              <w:t>sekä</w:t>
            </w:r>
            <w:r w:rsidR="72FABB84" w:rsidRPr="001D549E">
              <w:rPr>
                <w:rFonts w:cs="Arial"/>
                <w:color w:val="000000" w:themeColor="accent4"/>
              </w:rPr>
              <w:t xml:space="preserve"> niiden </w:t>
            </w:r>
            <w:r w:rsidR="3B48254E" w:rsidRPr="001D549E">
              <w:rPr>
                <w:rFonts w:cs="Arial"/>
                <w:color w:val="000000" w:themeColor="accent4"/>
              </w:rPr>
              <w:t>vaihtoehtois</w:t>
            </w:r>
            <w:r w:rsidR="05C51DA2" w:rsidRPr="001D549E">
              <w:rPr>
                <w:rFonts w:cs="Arial"/>
                <w:color w:val="000000" w:themeColor="accent4"/>
              </w:rPr>
              <w:t>ia</w:t>
            </w:r>
            <w:r w:rsidR="3B48254E" w:rsidRPr="001D549E">
              <w:rPr>
                <w:rFonts w:cs="Arial"/>
                <w:color w:val="000000" w:themeColor="accent4"/>
              </w:rPr>
              <w:t xml:space="preserve"> toteuttamisen mahdollisuu</w:t>
            </w:r>
            <w:r w:rsidR="7327C7C8" w:rsidRPr="001D549E">
              <w:rPr>
                <w:rFonts w:cs="Arial"/>
                <w:color w:val="000000" w:themeColor="accent4"/>
              </w:rPr>
              <w:t>ksia</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44038A11" w14:textId="7E9B1C1A" w:rsidR="330B097B" w:rsidRDefault="00985ACB" w:rsidP="61E89FC0">
            <w:pPr>
              <w:jc w:val="center"/>
              <w:rPr>
                <w:b/>
                <w:bCs/>
                <w:color w:val="000000" w:themeColor="accent4"/>
                <w:szCs w:val="22"/>
              </w:rPr>
            </w:pPr>
            <w:r w:rsidRPr="61E89FC0">
              <w:rPr>
                <w:b/>
                <w:bCs/>
                <w:color w:val="000000" w:themeColor="accent4"/>
                <w:szCs w:val="22"/>
              </w:rPr>
              <w:t>2023–2027</w:t>
            </w:r>
          </w:p>
        </w:tc>
      </w:tr>
      <w:tr w:rsidR="003148A2" w14:paraId="70EC657C" w14:textId="77777777" w:rsidTr="001D549E">
        <w:trPr>
          <w:trHeight w:val="890"/>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tcPr>
          <w:p w14:paraId="40D4F869" w14:textId="7FBC6D7A" w:rsidR="003148A2" w:rsidRPr="004D6A29" w:rsidRDefault="003148A2" w:rsidP="003148A2">
            <w:pPr>
              <w:rPr>
                <w:rFonts w:cs="Arial"/>
                <w:b/>
                <w:bCs/>
                <w:color w:val="000000"/>
                <w:szCs w:val="22"/>
              </w:rPr>
            </w:pPr>
            <w:r>
              <w:rPr>
                <w:rFonts w:cs="Arial"/>
                <w:b/>
                <w:bCs/>
                <w:color w:val="000000"/>
                <w:szCs w:val="22"/>
              </w:rPr>
              <w:t>7</w:t>
            </w:r>
            <w:r w:rsidRPr="004D6A29">
              <w:rPr>
                <w:rFonts w:cs="Arial"/>
                <w:b/>
                <w:bCs/>
                <w:color w:val="000000"/>
                <w:szCs w:val="22"/>
              </w:rPr>
              <w:t xml:space="preserve">. </w:t>
            </w:r>
            <w:r>
              <w:rPr>
                <w:rFonts w:cs="Arial"/>
                <w:b/>
                <w:bCs/>
                <w:color w:val="000000"/>
                <w:szCs w:val="22"/>
              </w:rPr>
              <w:t>Tehtäväroolien ja osaamisen uudistaminen verotuksessa</w:t>
            </w:r>
          </w:p>
          <w:p w14:paraId="454AABF6" w14:textId="77777777" w:rsidR="003148A2" w:rsidRDefault="003148A2" w:rsidP="001D549E">
            <w:pPr>
              <w:numPr>
                <w:ilvl w:val="0"/>
                <w:numId w:val="8"/>
              </w:numPr>
              <w:spacing w:line="259" w:lineRule="auto"/>
              <w:ind w:left="340" w:hanging="227"/>
              <w:jc w:val="left"/>
              <w:rPr>
                <w:rFonts w:cs="Arial"/>
                <w:color w:val="000000" w:themeColor="accent4"/>
              </w:rPr>
            </w:pPr>
            <w:r>
              <w:rPr>
                <w:rFonts w:cs="Arial"/>
                <w:color w:val="000000" w:themeColor="accent4"/>
              </w:rPr>
              <w:t>parannetaan verotuksen tehokkuutta ja laatua kehittämällä tehtävärooleja eheiksi kokonaisuuksiksi, huomioiden verotuksen vuosikello</w:t>
            </w:r>
          </w:p>
          <w:p w14:paraId="28AFCFAF" w14:textId="39C02F2B" w:rsidR="003148A2" w:rsidRPr="00571F7B" w:rsidRDefault="00F145A5" w:rsidP="003148A2">
            <w:pPr>
              <w:numPr>
                <w:ilvl w:val="0"/>
                <w:numId w:val="8"/>
              </w:numPr>
              <w:spacing w:line="259" w:lineRule="auto"/>
              <w:ind w:left="340" w:hanging="227"/>
              <w:jc w:val="left"/>
              <w:rPr>
                <w:rFonts w:cs="Arial"/>
                <w:color w:val="000000" w:themeColor="accent4"/>
              </w:rPr>
            </w:pPr>
            <w:r>
              <w:rPr>
                <w:rFonts w:cs="Arial"/>
                <w:color w:val="000000" w:themeColor="accent4"/>
              </w:rPr>
              <w:t xml:space="preserve">virkailijoiden osaamista laajennetaan ja syvennetään kohdennetusti vastaamaan uusien tehtäväroolien vaatimuksia </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7BBF31F4" w14:textId="7666B6B3" w:rsidR="003148A2" w:rsidRPr="005C019E" w:rsidRDefault="00985ACB" w:rsidP="003148A2">
            <w:pPr>
              <w:jc w:val="center"/>
              <w:rPr>
                <w:rFonts w:cs="Arial"/>
                <w:b/>
                <w:bCs/>
                <w:color w:val="000000"/>
                <w:szCs w:val="22"/>
              </w:rPr>
            </w:pPr>
            <w:r w:rsidRPr="005C019E">
              <w:rPr>
                <w:rFonts w:cs="Arial"/>
                <w:b/>
                <w:bCs/>
                <w:color w:val="000000"/>
                <w:szCs w:val="22"/>
              </w:rPr>
              <w:t>2021–202</w:t>
            </w:r>
            <w:r w:rsidR="00F145A5">
              <w:rPr>
                <w:rFonts w:cs="Arial"/>
                <w:b/>
                <w:bCs/>
                <w:color w:val="000000"/>
                <w:szCs w:val="22"/>
              </w:rPr>
              <w:t>7</w:t>
            </w:r>
          </w:p>
        </w:tc>
      </w:tr>
      <w:tr w:rsidR="00251792" w14:paraId="1B351035" w14:textId="77777777" w:rsidTr="001D549E">
        <w:trPr>
          <w:trHeight w:val="890"/>
          <w:jc w:val="center"/>
        </w:trPr>
        <w:tc>
          <w:tcPr>
            <w:tcW w:w="8212" w:type="dxa"/>
            <w:tcBorders>
              <w:top w:val="single" w:sz="12" w:space="0" w:color="006600" w:themeColor="accent1"/>
              <w:left w:val="single" w:sz="4" w:space="0" w:color="000000" w:themeColor="accent4"/>
              <w:bottom w:val="single" w:sz="12" w:space="0" w:color="006600" w:themeColor="accent1"/>
              <w:right w:val="single" w:sz="12" w:space="0" w:color="4A7B4A" w:themeColor="accent5" w:themeShade="BF"/>
            </w:tcBorders>
            <w:shd w:val="clear" w:color="auto" w:fill="C2DAC2"/>
          </w:tcPr>
          <w:p w14:paraId="3F836031" w14:textId="5678ADE7" w:rsidR="00251792" w:rsidRDefault="003148A2" w:rsidP="00251792">
            <w:pPr>
              <w:rPr>
                <w:rFonts w:cs="Arial"/>
                <w:b/>
                <w:bCs/>
                <w:color w:val="000000"/>
                <w:szCs w:val="22"/>
              </w:rPr>
            </w:pPr>
            <w:r>
              <w:rPr>
                <w:rFonts w:cs="Arial"/>
                <w:b/>
                <w:bCs/>
                <w:color w:val="000000"/>
                <w:szCs w:val="22"/>
              </w:rPr>
              <w:t>8</w:t>
            </w:r>
            <w:r w:rsidR="00251792" w:rsidRPr="00D811CE">
              <w:rPr>
                <w:rFonts w:cs="Arial"/>
                <w:b/>
                <w:bCs/>
                <w:color w:val="000000"/>
                <w:szCs w:val="22"/>
              </w:rPr>
              <w:t xml:space="preserve">. </w:t>
            </w:r>
            <w:r w:rsidR="00251792">
              <w:rPr>
                <w:rFonts w:cs="Arial"/>
                <w:b/>
                <w:bCs/>
                <w:color w:val="000000"/>
                <w:szCs w:val="22"/>
              </w:rPr>
              <w:t>Henkilöstöjohtamisen ja työntekijäkokemuksen</w:t>
            </w:r>
            <w:r w:rsidR="00251792" w:rsidRPr="00D811CE">
              <w:rPr>
                <w:rFonts w:cs="Arial"/>
                <w:b/>
                <w:bCs/>
                <w:color w:val="000000"/>
                <w:szCs w:val="22"/>
              </w:rPr>
              <w:t xml:space="preserve"> </w:t>
            </w:r>
            <w:r w:rsidR="00251792">
              <w:rPr>
                <w:rFonts w:cs="Arial"/>
                <w:b/>
                <w:bCs/>
                <w:color w:val="000000"/>
                <w:szCs w:val="22"/>
              </w:rPr>
              <w:t>kehittäminen</w:t>
            </w:r>
          </w:p>
          <w:p w14:paraId="171E86D3" w14:textId="1A9A2EAA" w:rsidR="00257A0B" w:rsidRPr="00257A0B" w:rsidRDefault="00257A0B" w:rsidP="00257A0B">
            <w:pPr>
              <w:numPr>
                <w:ilvl w:val="0"/>
                <w:numId w:val="5"/>
              </w:numPr>
              <w:ind w:left="454" w:hanging="284"/>
              <w:jc w:val="left"/>
              <w:rPr>
                <w:rFonts w:cs="Arial"/>
                <w:color w:val="000000" w:themeColor="accent4"/>
              </w:rPr>
            </w:pPr>
            <w:r w:rsidRPr="00257A0B">
              <w:rPr>
                <w:rFonts w:cs="Arial"/>
                <w:color w:val="000000" w:themeColor="accent4"/>
              </w:rPr>
              <w:t>Henkilöstöjohtamista kehitetään henkilöstöjohtamisen strategisten päämäärien</w:t>
            </w:r>
            <w:r w:rsidR="008D039A">
              <w:rPr>
                <w:rFonts w:cs="Arial"/>
                <w:color w:val="000000" w:themeColor="accent4"/>
              </w:rPr>
              <w:t xml:space="preserve"> </w:t>
            </w:r>
            <w:r w:rsidRPr="00257A0B">
              <w:rPr>
                <w:rFonts w:cs="Arial"/>
                <w:color w:val="000000" w:themeColor="accent4"/>
              </w:rPr>
              <w:t xml:space="preserve">kautta. </w:t>
            </w:r>
          </w:p>
          <w:p w14:paraId="61D35100" w14:textId="0655E894" w:rsidR="00E94304" w:rsidRPr="00E94304" w:rsidRDefault="00257A0B" w:rsidP="00E94304">
            <w:pPr>
              <w:numPr>
                <w:ilvl w:val="0"/>
                <w:numId w:val="5"/>
              </w:numPr>
              <w:ind w:left="454" w:hanging="284"/>
              <w:jc w:val="left"/>
              <w:rPr>
                <w:rFonts w:cs="Arial"/>
                <w:b/>
                <w:bCs/>
                <w:color w:val="000000" w:themeColor="accent4"/>
              </w:rPr>
            </w:pPr>
            <w:r w:rsidRPr="00257A0B">
              <w:rPr>
                <w:rFonts w:cs="Arial"/>
                <w:color w:val="000000" w:themeColor="accent4"/>
              </w:rPr>
              <w:t>Työntekijäkokemus tunnistetaan ja huomioidaan osana työnantajan toimintoja ja päätöksentekoa. Työntekijäkokemuksen johtaminen on tunnistettu strategiseksi kyvykkyydeksi ja sen kehittämiselle asetetaan tavoitteet.</w:t>
            </w:r>
          </w:p>
        </w:tc>
        <w:tc>
          <w:tcPr>
            <w:tcW w:w="1701" w:type="dxa"/>
            <w:tcBorders>
              <w:top w:val="single" w:sz="12" w:space="0" w:color="4A7B4A" w:themeColor="accent5" w:themeShade="BF"/>
              <w:left w:val="single" w:sz="12" w:space="0" w:color="4A7B4A" w:themeColor="accent5" w:themeShade="BF"/>
              <w:bottom w:val="single" w:sz="12" w:space="0" w:color="4A7B4A" w:themeColor="accent5" w:themeShade="BF"/>
              <w:right w:val="single" w:sz="12" w:space="0" w:color="4A7B4A" w:themeColor="accent5" w:themeShade="BF"/>
            </w:tcBorders>
            <w:shd w:val="clear" w:color="auto" w:fill="auto"/>
            <w:noWrap/>
            <w:vAlign w:val="center"/>
          </w:tcPr>
          <w:p w14:paraId="6BEB2DEB" w14:textId="78EBC761" w:rsidR="00251792" w:rsidRDefault="00985ACB" w:rsidP="00251792">
            <w:pPr>
              <w:jc w:val="center"/>
              <w:rPr>
                <w:rFonts w:cs="Arial"/>
                <w:b/>
                <w:bCs/>
                <w:color w:val="000000"/>
                <w:szCs w:val="22"/>
              </w:rPr>
            </w:pPr>
            <w:r w:rsidRPr="005C019E">
              <w:rPr>
                <w:rFonts w:cs="Arial"/>
                <w:b/>
                <w:bCs/>
                <w:color w:val="000000"/>
                <w:szCs w:val="22"/>
              </w:rPr>
              <w:t>202</w:t>
            </w:r>
            <w:r>
              <w:rPr>
                <w:rFonts w:cs="Arial"/>
                <w:b/>
                <w:bCs/>
                <w:color w:val="000000"/>
                <w:szCs w:val="22"/>
              </w:rPr>
              <w:t>3</w:t>
            </w:r>
            <w:r w:rsidRPr="005C019E">
              <w:rPr>
                <w:rFonts w:cs="Arial"/>
                <w:b/>
                <w:bCs/>
                <w:color w:val="000000"/>
                <w:szCs w:val="22"/>
              </w:rPr>
              <w:t>–2027</w:t>
            </w:r>
          </w:p>
          <w:p w14:paraId="02D75DC5" w14:textId="77777777" w:rsidR="00251792" w:rsidRPr="61E89FC0" w:rsidRDefault="00251792" w:rsidP="00251792">
            <w:pPr>
              <w:jc w:val="center"/>
              <w:rPr>
                <w:b/>
                <w:bCs/>
                <w:color w:val="000000" w:themeColor="accent4"/>
                <w:szCs w:val="22"/>
              </w:rPr>
            </w:pPr>
          </w:p>
        </w:tc>
      </w:tr>
    </w:tbl>
    <w:p w14:paraId="6ADA8AD3" w14:textId="6BD9ADBB" w:rsidR="00F524B3" w:rsidRDefault="00F524B3" w:rsidP="00F524B3">
      <w:pPr>
        <w:pStyle w:val="Otsikko1"/>
      </w:pPr>
      <w:bookmarkStart w:id="14" w:name="_Toc116560494"/>
      <w:r>
        <w:lastRenderedPageBreak/>
        <w:t>Verohallinnon voimavarat</w:t>
      </w:r>
      <w:bookmarkEnd w:id="14"/>
    </w:p>
    <w:p w14:paraId="3D96DA5F" w14:textId="23577D6C" w:rsidR="002964D2" w:rsidRPr="00985ACB" w:rsidRDefault="004D46F9" w:rsidP="00985ACB">
      <w:pPr>
        <w:pStyle w:val="Otsikko2"/>
        <w:numPr>
          <w:ilvl w:val="1"/>
          <w:numId w:val="1"/>
        </w:numPr>
      </w:pPr>
      <w:bookmarkStart w:id="15" w:name="_Toc115184502"/>
      <w:bookmarkStart w:id="16" w:name="_Toc116560495"/>
      <w:bookmarkEnd w:id="15"/>
      <w:r>
        <w:t>Viraston käytettävissä olevat resurssit</w:t>
      </w:r>
      <w:bookmarkEnd w:id="16"/>
    </w:p>
    <w:p w14:paraId="598CF6E2" w14:textId="21E996DC" w:rsidR="002964D2" w:rsidRPr="002964D2" w:rsidRDefault="002964D2" w:rsidP="00C8060E">
      <w:pPr>
        <w:pStyle w:val="Otsikko3"/>
      </w:pPr>
      <w:bookmarkStart w:id="17" w:name="_Toc116560496"/>
      <w:r w:rsidRPr="002964D2">
        <w:t xml:space="preserve">Yhteenveto </w:t>
      </w:r>
      <w:r w:rsidRPr="002964D2">
        <w:rPr>
          <w:u w:val="single"/>
        </w:rPr>
        <w:t>verotustoiminnan</w:t>
      </w:r>
      <w:r w:rsidRPr="002964D2">
        <w:t xml:space="preserve"> kehyssuunnitelmasta</w:t>
      </w:r>
      <w:bookmarkEnd w:id="17"/>
    </w:p>
    <w:p w14:paraId="5805B48C" w14:textId="06C710AA" w:rsidR="002964D2" w:rsidRPr="002964D2" w:rsidRDefault="00CD2374" w:rsidP="002964D2">
      <w:pPr>
        <w:overflowPunct/>
        <w:autoSpaceDE/>
        <w:autoSpaceDN/>
        <w:adjustRightInd/>
        <w:textAlignment w:val="auto"/>
        <w:rPr>
          <w:color w:val="000000" w:themeColor="text1"/>
        </w:rPr>
      </w:pPr>
      <w:r>
        <w:rPr>
          <w:i/>
          <w:color w:val="000000" w:themeColor="text1"/>
        </w:rPr>
        <w:t>Kehyssuunnitelma</w:t>
      </w:r>
      <w:r w:rsidR="002964D2" w:rsidRPr="002964D2">
        <w:rPr>
          <w:i/>
          <w:color w:val="000000" w:themeColor="text1"/>
        </w:rPr>
        <w:t>ssa</w:t>
      </w:r>
      <w:r w:rsidR="002964D2" w:rsidRPr="002964D2">
        <w:rPr>
          <w:color w:val="000000" w:themeColor="text1"/>
        </w:rPr>
        <w:t xml:space="preserve"> on huomioitu pääministeri Marinin </w:t>
      </w:r>
      <w:r w:rsidR="002964D2" w:rsidRPr="002964D2">
        <w:t>hallitusohjelmassa hallinnon digitalisoitumista ja läpinäkyvyyttä edistäv</w:t>
      </w:r>
      <w:r w:rsidR="00542C09">
        <w:t>ät</w:t>
      </w:r>
      <w:r w:rsidR="002964D2" w:rsidRPr="002964D2">
        <w:t xml:space="preserve"> </w:t>
      </w:r>
      <w:r w:rsidR="00043449">
        <w:t>sekä harmaan talouden torjuntaohjelma</w:t>
      </w:r>
      <w:r w:rsidR="00757DD8">
        <w:t>a</w:t>
      </w:r>
      <w:r w:rsidR="00043449">
        <w:t xml:space="preserve">n </w:t>
      </w:r>
      <w:r w:rsidR="00757DD8">
        <w:t xml:space="preserve">sisältyneet </w:t>
      </w:r>
      <w:r w:rsidR="002964D2" w:rsidRPr="002964D2">
        <w:t>hankke</w:t>
      </w:r>
      <w:r w:rsidR="00542C09">
        <w:t>et</w:t>
      </w:r>
      <w:r w:rsidR="002964D2" w:rsidRPr="002964D2">
        <w:t xml:space="preserve"> siten, että viimeiset käynnissä olevat hankkeet päättyvät vuonna 2024. Tullin verotustehtävien siirron päättämis</w:t>
      </w:r>
      <w:r w:rsidR="009D0075">
        <w:t>vaihe</w:t>
      </w:r>
      <w:r w:rsidR="002964D2" w:rsidRPr="002964D2">
        <w:t xml:space="preserve">en viimeiset toiminnallisuudet, sisältäen EMCS-uudistuksen, käyttöönotetaan vuonna 2023. Kiinteistöverotuksen arvostamisuudistukseen jää käyttöönottovaraus vuosille </w:t>
      </w:r>
      <w:r w:rsidR="00985ACB" w:rsidRPr="002964D2">
        <w:t>2024–2025</w:t>
      </w:r>
      <w:r w:rsidR="002964D2" w:rsidRPr="002964D2">
        <w:t xml:space="preserve">. Lisäksi </w:t>
      </w:r>
      <w:r w:rsidR="002964D2" w:rsidRPr="002964D2">
        <w:rPr>
          <w:color w:val="000000" w:themeColor="text1"/>
        </w:rPr>
        <w:t>kehyskauden lopulle</w:t>
      </w:r>
      <w:r w:rsidR="002964D2" w:rsidRPr="002964D2">
        <w:t xml:space="preserve"> on tehty </w:t>
      </w:r>
      <w:r w:rsidR="002964D2" w:rsidRPr="002964D2">
        <w:rPr>
          <w:color w:val="000000" w:themeColor="text1"/>
        </w:rPr>
        <w:t xml:space="preserve">varaus GenTax-valmisohjelmiston seuraavaan versiovaihdokseen. </w:t>
      </w:r>
    </w:p>
    <w:p w14:paraId="6DEC38B2" w14:textId="77777777" w:rsidR="002964D2" w:rsidRPr="002964D2" w:rsidRDefault="002964D2" w:rsidP="002964D2">
      <w:pPr>
        <w:overflowPunct/>
        <w:autoSpaceDE/>
        <w:autoSpaceDN/>
        <w:adjustRightInd/>
        <w:textAlignment w:val="auto"/>
      </w:pPr>
    </w:p>
    <w:p w14:paraId="1A0756BB" w14:textId="1BFD500C" w:rsidR="005E5A00" w:rsidRDefault="002964D2" w:rsidP="002964D2">
      <w:pPr>
        <w:overflowPunct/>
        <w:autoSpaceDE/>
        <w:autoSpaceDN/>
        <w:adjustRightInd/>
        <w:textAlignment w:val="auto"/>
      </w:pPr>
      <w:r w:rsidRPr="002964D2">
        <w:t xml:space="preserve">Kehyskauden alkupuolella painottuvat </w:t>
      </w:r>
      <w:r w:rsidR="00816211">
        <w:t>uusien</w:t>
      </w:r>
      <w:r w:rsidRPr="002964D2">
        <w:t xml:space="preserve"> lakimuutosten toteuttamiset </w:t>
      </w:r>
      <w:r w:rsidR="00CE71E3">
        <w:t>(</w:t>
      </w:r>
      <w:r w:rsidRPr="002964D2">
        <w:t>mm. kansallinen henkilötunnusuudistus, automaatti</w:t>
      </w:r>
      <w:r w:rsidR="00681E12">
        <w:t>s</w:t>
      </w:r>
      <w:r w:rsidRPr="002964D2">
        <w:t>en päätöksenteon edellyttämät muutokse</w:t>
      </w:r>
      <w:r w:rsidR="005E3C33">
        <w:t>t,</w:t>
      </w:r>
      <w:r w:rsidRPr="002964D2">
        <w:t xml:space="preserve"> kaivos</w:t>
      </w:r>
      <w:r w:rsidR="00CE71E3">
        <w:t>mineraali</w:t>
      </w:r>
      <w:r w:rsidRPr="002964D2">
        <w:t>veron käyttöönotto</w:t>
      </w:r>
      <w:r w:rsidR="00CE71E3">
        <w:t>)</w:t>
      </w:r>
      <w:r w:rsidR="005E3C33">
        <w:t xml:space="preserve">, </w:t>
      </w:r>
      <w:r w:rsidRPr="002964D2">
        <w:t xml:space="preserve">muut </w:t>
      </w:r>
      <w:r w:rsidR="00816211">
        <w:t xml:space="preserve">syksyn </w:t>
      </w:r>
      <w:r w:rsidRPr="002964D2">
        <w:t>budjettiriihen linjaukset vuodelle 2023 sekä kansainvälisen toiminnan edellyttämät muutokset</w:t>
      </w:r>
      <w:r w:rsidR="008E4394">
        <w:t xml:space="preserve"> (</w:t>
      </w:r>
      <w:r w:rsidRPr="002964D2">
        <w:t>mm. k</w:t>
      </w:r>
      <w:r w:rsidR="005E3C33">
        <w:t xml:space="preserve">ansainvälisen </w:t>
      </w:r>
      <w:r w:rsidRPr="002964D2">
        <w:t xml:space="preserve">tuloverotuksen uudistuksen OECD pilarit I ja II). </w:t>
      </w:r>
    </w:p>
    <w:p w14:paraId="0C0261C3" w14:textId="77777777" w:rsidR="005E5A00" w:rsidRDefault="005E5A00" w:rsidP="002964D2">
      <w:pPr>
        <w:overflowPunct/>
        <w:autoSpaceDE/>
        <w:autoSpaceDN/>
        <w:adjustRightInd/>
        <w:textAlignment w:val="auto"/>
      </w:pPr>
    </w:p>
    <w:p w14:paraId="2CA9DECC" w14:textId="4527E280" w:rsidR="005E5A00" w:rsidRDefault="00E01820" w:rsidP="002964D2">
      <w:pPr>
        <w:overflowPunct/>
        <w:autoSpaceDE/>
        <w:autoSpaceDN/>
        <w:adjustRightInd/>
        <w:textAlignment w:val="auto"/>
      </w:pPr>
      <w:r w:rsidRPr="00B75A4B">
        <w:t xml:space="preserve">Verohallinto käynnistää </w:t>
      </w:r>
      <w:r w:rsidR="00733DDC" w:rsidRPr="00B75A4B">
        <w:t>ennen kehyskauden alkamista vaikuttavuus</w:t>
      </w:r>
      <w:r w:rsidR="00760E7D" w:rsidRPr="00B75A4B">
        <w:t>tavoitteiden edistämiseksi</w:t>
      </w:r>
      <w:r w:rsidR="00B75A4B">
        <w:t xml:space="preserve"> </w:t>
      </w:r>
      <w:r w:rsidR="008E1E52">
        <w:t xml:space="preserve">ja toiminnan turvaamiseksi </w:t>
      </w:r>
      <w:r w:rsidR="005E5A00" w:rsidRPr="00B75A4B">
        <w:t>koulutusohjelma</w:t>
      </w:r>
      <w:r w:rsidR="00357243" w:rsidRPr="00B75A4B">
        <w:t>n</w:t>
      </w:r>
      <w:r w:rsidR="005E5A00" w:rsidRPr="00B75A4B">
        <w:t xml:space="preserve"> ja </w:t>
      </w:r>
      <w:r w:rsidR="00F76BD5">
        <w:t>V</w:t>
      </w:r>
      <w:r w:rsidR="005C0EF6">
        <w:t>erotusprosessien virtavii</w:t>
      </w:r>
      <w:r w:rsidR="000A73D2">
        <w:t>vaistami</w:t>
      </w:r>
      <w:r w:rsidR="00F76BD5">
        <w:t>n</w:t>
      </w:r>
      <w:r w:rsidR="000A73D2">
        <w:t>en - hankkeen.</w:t>
      </w:r>
      <w:r w:rsidR="00643F90">
        <w:t xml:space="preserve"> N</w:t>
      </w:r>
      <w:r w:rsidR="00C7132F">
        <w:t>ämä</w:t>
      </w:r>
      <w:r w:rsidR="00643F90">
        <w:t xml:space="preserve"> toimenpiteet</w:t>
      </w:r>
      <w:r w:rsidR="00C7132F">
        <w:t xml:space="preserve"> mahdollista</w:t>
      </w:r>
      <w:r w:rsidR="00643F90">
        <w:t>vat</w:t>
      </w:r>
      <w:r w:rsidR="00C7132F" w:rsidRPr="005E5A00">
        <w:t xml:space="preserve"> entistä suuremman </w:t>
      </w:r>
      <w:r w:rsidR="00C7132F">
        <w:t>henkilö</w:t>
      </w:r>
      <w:r w:rsidR="00C7132F" w:rsidRPr="005E5A00">
        <w:t>työpanoksen kohdentami</w:t>
      </w:r>
      <w:r w:rsidR="00C7132F">
        <w:t>sen</w:t>
      </w:r>
      <w:r w:rsidR="00C7132F" w:rsidRPr="005E5A00">
        <w:t xml:space="preserve"> vaikuttavuuspainotteisiin </w:t>
      </w:r>
      <w:r w:rsidR="00C7132F">
        <w:t>työ</w:t>
      </w:r>
      <w:r w:rsidR="00C7132F" w:rsidRPr="005E5A00">
        <w:t xml:space="preserve">tehtäviin. </w:t>
      </w:r>
      <w:r w:rsidR="000A73D2">
        <w:t xml:space="preserve"> </w:t>
      </w:r>
      <w:r w:rsidR="00D567C1">
        <w:t>Koulutusohjelman ja hankkeen</w:t>
      </w:r>
      <w:r w:rsidR="001823DD">
        <w:t xml:space="preserve"> </w:t>
      </w:r>
      <w:r w:rsidR="00D567C1">
        <w:t>vuoksi</w:t>
      </w:r>
      <w:r w:rsidR="005E5A00" w:rsidRPr="005E5A00">
        <w:t xml:space="preserve"> Verohallinto on tarkistanut verotustoiminnan kehyskauden henkilötyön vähimmäisresurssitarpe</w:t>
      </w:r>
      <w:r w:rsidR="00636E28">
        <w:t>et</w:t>
      </w:r>
      <w:r w:rsidR="00C91283">
        <w:t xml:space="preserve"> vuoteen 2027 asti (</w:t>
      </w:r>
      <w:r w:rsidR="006C5C86">
        <w:t>T</w:t>
      </w:r>
      <w:r w:rsidR="006C5C86" w:rsidRPr="005E5A00">
        <w:t>aulukko 7</w:t>
      </w:r>
      <w:r w:rsidR="006C5C86">
        <w:t xml:space="preserve">: </w:t>
      </w:r>
      <w:r w:rsidR="00DB52FA" w:rsidRPr="00DB52FA">
        <w:t>Verohallinnon henkilötyötarve vuosina 2021–2027</w:t>
      </w:r>
      <w:r w:rsidR="005E5A00" w:rsidRPr="005E5A00">
        <w:t>).</w:t>
      </w:r>
    </w:p>
    <w:p w14:paraId="6FD3BA85" w14:textId="77777777" w:rsidR="002B52DB" w:rsidRPr="002964D2" w:rsidRDefault="002B52DB" w:rsidP="002964D2">
      <w:pPr>
        <w:overflowPunct/>
        <w:autoSpaceDE/>
        <w:autoSpaceDN/>
        <w:adjustRightInd/>
        <w:textAlignment w:val="auto"/>
      </w:pPr>
    </w:p>
    <w:p w14:paraId="66C54F27" w14:textId="1BE7E21F" w:rsidR="002A4D43" w:rsidRDefault="00D42741" w:rsidP="002964D2">
      <w:pPr>
        <w:overflowPunct/>
        <w:autoSpaceDE/>
        <w:autoSpaceDN/>
        <w:adjustRightInd/>
        <w:textAlignment w:val="auto"/>
      </w:pPr>
      <w:r w:rsidRPr="00D42741">
        <w:t>Kehyskauden alussa siirtomääräraha</w:t>
      </w:r>
      <w:r w:rsidR="00757DD8">
        <w:t>taso</w:t>
      </w:r>
      <w:r w:rsidRPr="00D42741">
        <w:t xml:space="preserve"> on noin </w:t>
      </w:r>
      <w:proofErr w:type="gramStart"/>
      <w:r w:rsidRPr="00D42741">
        <w:t>122-125</w:t>
      </w:r>
      <w:proofErr w:type="gramEnd"/>
      <w:r w:rsidRPr="00D42741">
        <w:t xml:space="preserve"> M€, mutta </w:t>
      </w:r>
      <w:r w:rsidR="0048029E">
        <w:t xml:space="preserve">jo </w:t>
      </w:r>
      <w:r w:rsidRPr="00D42741">
        <w:t xml:space="preserve">tehtyjen päätösten jälkeen lähes kaikki rahoitus on </w:t>
      </w:r>
      <w:r w:rsidR="00E92C80">
        <w:t>kohdistettu</w:t>
      </w:r>
      <w:r w:rsidRPr="00D42741">
        <w:t xml:space="preserve"> vahvistettuihin tavoitteisiin. Vuonna 2027 siirtomäärärahataso jää alle</w:t>
      </w:r>
      <w:r w:rsidR="00101724">
        <w:t xml:space="preserve"> </w:t>
      </w:r>
      <w:r w:rsidRPr="00D42741">
        <w:t>tavoit</w:t>
      </w:r>
      <w:r w:rsidR="008E0346">
        <w:t xml:space="preserve">teellisen </w:t>
      </w:r>
      <w:r w:rsidRPr="00D42741">
        <w:t>tason</w:t>
      </w:r>
      <w:r w:rsidR="008E0346">
        <w:t xml:space="preserve"> (</w:t>
      </w:r>
      <w:r w:rsidR="00C77AE6">
        <w:t xml:space="preserve">ollen </w:t>
      </w:r>
      <w:r w:rsidR="008E0346">
        <w:t xml:space="preserve">noin </w:t>
      </w:r>
      <w:proofErr w:type="gramStart"/>
      <w:r w:rsidR="008E0346">
        <w:t>8-10</w:t>
      </w:r>
      <w:proofErr w:type="gramEnd"/>
      <w:r w:rsidR="008E0346">
        <w:t xml:space="preserve"> % nettomenoista)</w:t>
      </w:r>
      <w:r w:rsidRPr="00D42741">
        <w:t xml:space="preserve">. </w:t>
      </w:r>
    </w:p>
    <w:p w14:paraId="3DF97FA5" w14:textId="77777777" w:rsidR="00101724" w:rsidRDefault="00101724" w:rsidP="002964D2">
      <w:pPr>
        <w:overflowPunct/>
        <w:autoSpaceDE/>
        <w:autoSpaceDN/>
        <w:adjustRightInd/>
        <w:textAlignment w:val="auto"/>
      </w:pPr>
    </w:p>
    <w:p w14:paraId="49491C59" w14:textId="3D3A6248" w:rsidR="002A4D43" w:rsidRPr="002964D2" w:rsidRDefault="002A4D43" w:rsidP="002A4D43">
      <w:pPr>
        <w:overflowPunct/>
        <w:autoSpaceDE/>
        <w:autoSpaceDN/>
        <w:adjustRightInd/>
        <w:textAlignment w:val="auto"/>
      </w:pPr>
      <w:r w:rsidRPr="00E94304">
        <w:rPr>
          <w:b/>
          <w:sz w:val="20"/>
        </w:rPr>
        <w:t xml:space="preserve">Taulukko 3. Verotustoiminnan </w:t>
      </w:r>
      <w:r w:rsidR="00CD2374" w:rsidRPr="00E94304">
        <w:rPr>
          <w:b/>
          <w:sz w:val="20"/>
        </w:rPr>
        <w:t xml:space="preserve">kehyssuunnitelma </w:t>
      </w:r>
      <w:r w:rsidRPr="00E94304">
        <w:rPr>
          <w:b/>
          <w:sz w:val="20"/>
        </w:rPr>
        <w:t xml:space="preserve">vuoteen 2027 asti </w:t>
      </w:r>
      <w:r w:rsidRPr="00E94304">
        <w:rPr>
          <w:bCs/>
          <w:sz w:val="20"/>
        </w:rPr>
        <w:t>(tilanne 11.10.2022)</w:t>
      </w:r>
    </w:p>
    <w:p w14:paraId="14D155BB" w14:textId="77777777" w:rsidR="002A4D43" w:rsidRPr="002964D2" w:rsidRDefault="002A4D43" w:rsidP="002A4D43">
      <w:pPr>
        <w:overflowPunct/>
        <w:autoSpaceDE/>
        <w:autoSpaceDN/>
        <w:adjustRightInd/>
        <w:textAlignment w:val="auto"/>
        <w:rPr>
          <w:sz w:val="20"/>
        </w:rPr>
      </w:pPr>
    </w:p>
    <w:tbl>
      <w:tblPr>
        <w:tblStyle w:val="TaulukkoRuudukko1"/>
        <w:tblW w:w="9634" w:type="dxa"/>
        <w:tblLayout w:type="fixed"/>
        <w:tblLook w:val="04A0" w:firstRow="1" w:lastRow="0" w:firstColumn="1" w:lastColumn="0" w:noHBand="0" w:noVBand="1"/>
      </w:tblPr>
      <w:tblGrid>
        <w:gridCol w:w="3114"/>
        <w:gridCol w:w="931"/>
        <w:gridCol w:w="931"/>
        <w:gridCol w:w="932"/>
        <w:gridCol w:w="931"/>
        <w:gridCol w:w="932"/>
        <w:gridCol w:w="931"/>
        <w:gridCol w:w="932"/>
      </w:tblGrid>
      <w:tr w:rsidR="002A4D43" w:rsidRPr="002964D2" w14:paraId="1FA5FDDC" w14:textId="77777777" w:rsidTr="004D5BF0">
        <w:trPr>
          <w:trHeight w:val="263"/>
          <w:tblHeader/>
        </w:trPr>
        <w:tc>
          <w:tcPr>
            <w:tcW w:w="3114" w:type="dxa"/>
            <w:shd w:val="clear" w:color="auto" w:fill="E5EFE5" w:themeFill="background2"/>
          </w:tcPr>
          <w:p w14:paraId="3DD2A0C7" w14:textId="77777777" w:rsidR="002A4D43" w:rsidRPr="002964D2" w:rsidRDefault="002A4D43" w:rsidP="00EF7060">
            <w:pPr>
              <w:overflowPunct/>
              <w:autoSpaceDE/>
              <w:autoSpaceDN/>
              <w:adjustRightInd/>
              <w:textAlignment w:val="auto"/>
              <w:rPr>
                <w:b/>
                <w:sz w:val="20"/>
              </w:rPr>
            </w:pPr>
            <w:r w:rsidRPr="002964D2">
              <w:rPr>
                <w:b/>
                <w:sz w:val="20"/>
              </w:rPr>
              <w:t>Mom. 28.10.01</w:t>
            </w:r>
          </w:p>
          <w:p w14:paraId="546ED4D3" w14:textId="77777777" w:rsidR="002A4D43" w:rsidRPr="002964D2" w:rsidRDefault="002A4D43" w:rsidP="00EF7060">
            <w:pPr>
              <w:overflowPunct/>
              <w:autoSpaceDE/>
              <w:autoSpaceDN/>
              <w:adjustRightInd/>
              <w:textAlignment w:val="auto"/>
              <w:rPr>
                <w:b/>
                <w:sz w:val="20"/>
                <w:vertAlign w:val="superscript"/>
              </w:rPr>
            </w:pPr>
            <w:r w:rsidRPr="002964D2">
              <w:rPr>
                <w:b/>
                <w:sz w:val="20"/>
              </w:rPr>
              <w:t>Verotustoiminta</w:t>
            </w:r>
          </w:p>
        </w:tc>
        <w:tc>
          <w:tcPr>
            <w:tcW w:w="931" w:type="dxa"/>
            <w:shd w:val="clear" w:color="auto" w:fill="E5EFE5" w:themeFill="background2"/>
          </w:tcPr>
          <w:p w14:paraId="3AE77706" w14:textId="77777777" w:rsidR="002A4D43" w:rsidRPr="002964D2" w:rsidRDefault="002A4D43" w:rsidP="00EF7060">
            <w:pPr>
              <w:overflowPunct/>
              <w:autoSpaceDE/>
              <w:autoSpaceDN/>
              <w:adjustRightInd/>
              <w:textAlignment w:val="auto"/>
              <w:rPr>
                <w:b/>
                <w:sz w:val="20"/>
              </w:rPr>
            </w:pPr>
            <w:r w:rsidRPr="002964D2">
              <w:rPr>
                <w:b/>
                <w:sz w:val="20"/>
              </w:rPr>
              <w:t>2021</w:t>
            </w:r>
          </w:p>
          <w:p w14:paraId="5CCDE8E2" w14:textId="77777777" w:rsidR="002A4D43" w:rsidRPr="002964D2" w:rsidRDefault="002A4D43" w:rsidP="00EF7060">
            <w:pPr>
              <w:overflowPunct/>
              <w:autoSpaceDE/>
              <w:autoSpaceDN/>
              <w:adjustRightInd/>
              <w:textAlignment w:val="auto"/>
              <w:rPr>
                <w:b/>
                <w:sz w:val="20"/>
              </w:rPr>
            </w:pPr>
            <w:r w:rsidRPr="002964D2">
              <w:rPr>
                <w:b/>
                <w:sz w:val="20"/>
              </w:rPr>
              <w:t>Tot.</w:t>
            </w:r>
          </w:p>
        </w:tc>
        <w:tc>
          <w:tcPr>
            <w:tcW w:w="931" w:type="dxa"/>
            <w:shd w:val="clear" w:color="auto" w:fill="E5EFE5" w:themeFill="background2"/>
          </w:tcPr>
          <w:p w14:paraId="626C1FC9" w14:textId="77777777" w:rsidR="002A4D43" w:rsidRPr="002964D2" w:rsidRDefault="002A4D43" w:rsidP="00EF7060">
            <w:pPr>
              <w:overflowPunct/>
              <w:autoSpaceDE/>
              <w:autoSpaceDN/>
              <w:adjustRightInd/>
              <w:textAlignment w:val="auto"/>
              <w:rPr>
                <w:b/>
                <w:sz w:val="20"/>
              </w:rPr>
            </w:pPr>
            <w:r w:rsidRPr="002964D2">
              <w:rPr>
                <w:b/>
                <w:sz w:val="20"/>
              </w:rPr>
              <w:t>2022</w:t>
            </w:r>
          </w:p>
          <w:p w14:paraId="690C3B42" w14:textId="77777777" w:rsidR="002A4D43" w:rsidRPr="002964D2" w:rsidRDefault="002A4D43" w:rsidP="00EF7060">
            <w:pPr>
              <w:overflowPunct/>
              <w:autoSpaceDE/>
              <w:autoSpaceDN/>
              <w:adjustRightInd/>
              <w:textAlignment w:val="auto"/>
              <w:rPr>
                <w:b/>
                <w:sz w:val="20"/>
              </w:rPr>
            </w:pPr>
            <w:r w:rsidRPr="002964D2">
              <w:rPr>
                <w:b/>
                <w:sz w:val="20"/>
              </w:rPr>
              <w:t>Arvio</w:t>
            </w:r>
          </w:p>
        </w:tc>
        <w:tc>
          <w:tcPr>
            <w:tcW w:w="932" w:type="dxa"/>
            <w:shd w:val="clear" w:color="auto" w:fill="E5EFE5" w:themeFill="background2"/>
          </w:tcPr>
          <w:p w14:paraId="154A39A2" w14:textId="77777777" w:rsidR="002A4D43" w:rsidRPr="002964D2" w:rsidRDefault="002A4D43" w:rsidP="00EF7060">
            <w:pPr>
              <w:overflowPunct/>
              <w:autoSpaceDE/>
              <w:autoSpaceDN/>
              <w:adjustRightInd/>
              <w:textAlignment w:val="auto"/>
              <w:rPr>
                <w:b/>
                <w:sz w:val="20"/>
              </w:rPr>
            </w:pPr>
            <w:r w:rsidRPr="002964D2">
              <w:rPr>
                <w:b/>
                <w:sz w:val="20"/>
              </w:rPr>
              <w:t>2023</w:t>
            </w:r>
          </w:p>
          <w:p w14:paraId="5B91A97B" w14:textId="77777777" w:rsidR="002A4D43" w:rsidRPr="002964D2" w:rsidRDefault="002A4D43" w:rsidP="00EF7060">
            <w:pPr>
              <w:overflowPunct/>
              <w:autoSpaceDE/>
              <w:autoSpaceDN/>
              <w:adjustRightInd/>
              <w:textAlignment w:val="auto"/>
              <w:rPr>
                <w:b/>
                <w:sz w:val="20"/>
              </w:rPr>
            </w:pPr>
            <w:r w:rsidRPr="002964D2">
              <w:rPr>
                <w:b/>
                <w:sz w:val="20"/>
              </w:rPr>
              <w:t>TAE</w:t>
            </w:r>
          </w:p>
        </w:tc>
        <w:tc>
          <w:tcPr>
            <w:tcW w:w="931" w:type="dxa"/>
            <w:shd w:val="clear" w:color="auto" w:fill="E5EFE5" w:themeFill="background2"/>
          </w:tcPr>
          <w:p w14:paraId="7E1FC545" w14:textId="77777777" w:rsidR="002A4D43" w:rsidRPr="002964D2" w:rsidRDefault="002A4D43" w:rsidP="00EF7060">
            <w:pPr>
              <w:overflowPunct/>
              <w:autoSpaceDE/>
              <w:autoSpaceDN/>
              <w:adjustRightInd/>
              <w:textAlignment w:val="auto"/>
              <w:rPr>
                <w:b/>
                <w:sz w:val="20"/>
              </w:rPr>
            </w:pPr>
            <w:r w:rsidRPr="002964D2">
              <w:rPr>
                <w:b/>
                <w:sz w:val="20"/>
              </w:rPr>
              <w:t>2024</w:t>
            </w:r>
          </w:p>
          <w:p w14:paraId="23DFF65B" w14:textId="77777777" w:rsidR="002A4D43" w:rsidRPr="002964D2" w:rsidRDefault="002A4D43" w:rsidP="00EF7060">
            <w:pPr>
              <w:overflowPunct/>
              <w:autoSpaceDE/>
              <w:autoSpaceDN/>
              <w:adjustRightInd/>
              <w:textAlignment w:val="auto"/>
              <w:rPr>
                <w:b/>
                <w:sz w:val="20"/>
              </w:rPr>
            </w:pPr>
            <w:r w:rsidRPr="002964D2">
              <w:rPr>
                <w:b/>
                <w:sz w:val="20"/>
              </w:rPr>
              <w:t>TTS</w:t>
            </w:r>
          </w:p>
        </w:tc>
        <w:tc>
          <w:tcPr>
            <w:tcW w:w="932" w:type="dxa"/>
            <w:shd w:val="clear" w:color="auto" w:fill="E5EFE5" w:themeFill="background2"/>
          </w:tcPr>
          <w:p w14:paraId="37FC210C" w14:textId="50E54F42" w:rsidR="002A4D43" w:rsidRPr="002964D2" w:rsidRDefault="002A4D43" w:rsidP="04E13E02">
            <w:pPr>
              <w:overflowPunct/>
              <w:autoSpaceDE/>
              <w:autoSpaceDN/>
              <w:adjustRightInd/>
              <w:ind w:left="-526"/>
              <w:jc w:val="left"/>
              <w:textAlignment w:val="auto"/>
              <w:rPr>
                <w:b/>
                <w:sz w:val="20"/>
              </w:rPr>
            </w:pPr>
            <w:r w:rsidRPr="002964D2">
              <w:rPr>
                <w:b/>
                <w:sz w:val="20"/>
              </w:rPr>
              <w:t>2025</w:t>
            </w:r>
          </w:p>
          <w:p w14:paraId="6F507F5D" w14:textId="460A024C" w:rsidR="002A4D43" w:rsidRPr="002964D2" w:rsidRDefault="002A4D43" w:rsidP="04E13E02">
            <w:pPr>
              <w:overflowPunct/>
              <w:autoSpaceDE/>
              <w:autoSpaceDN/>
              <w:adjustRightInd/>
              <w:ind w:left="-526"/>
              <w:jc w:val="left"/>
              <w:textAlignment w:val="auto"/>
              <w:rPr>
                <w:b/>
                <w:sz w:val="20"/>
              </w:rPr>
            </w:pPr>
            <w:r w:rsidRPr="002964D2">
              <w:rPr>
                <w:b/>
                <w:sz w:val="20"/>
              </w:rPr>
              <w:t>TTS</w:t>
            </w:r>
          </w:p>
        </w:tc>
        <w:tc>
          <w:tcPr>
            <w:tcW w:w="931" w:type="dxa"/>
            <w:shd w:val="clear" w:color="auto" w:fill="E5EFE5" w:themeFill="background2"/>
          </w:tcPr>
          <w:p w14:paraId="7E32FCF5" w14:textId="77777777" w:rsidR="002A4D43" w:rsidRPr="002964D2" w:rsidRDefault="002A4D43" w:rsidP="00EF7060">
            <w:pPr>
              <w:overflowPunct/>
              <w:autoSpaceDE/>
              <w:autoSpaceDN/>
              <w:adjustRightInd/>
              <w:textAlignment w:val="auto"/>
              <w:rPr>
                <w:b/>
                <w:sz w:val="20"/>
              </w:rPr>
            </w:pPr>
            <w:r w:rsidRPr="002964D2">
              <w:rPr>
                <w:b/>
                <w:sz w:val="20"/>
              </w:rPr>
              <w:t>2026</w:t>
            </w:r>
          </w:p>
          <w:p w14:paraId="051F2BAF" w14:textId="77777777" w:rsidR="002A4D43" w:rsidRPr="002964D2" w:rsidRDefault="002A4D43" w:rsidP="00EF7060">
            <w:pPr>
              <w:overflowPunct/>
              <w:autoSpaceDE/>
              <w:autoSpaceDN/>
              <w:adjustRightInd/>
              <w:textAlignment w:val="auto"/>
              <w:rPr>
                <w:b/>
                <w:sz w:val="20"/>
              </w:rPr>
            </w:pPr>
            <w:r w:rsidRPr="002964D2">
              <w:rPr>
                <w:b/>
                <w:sz w:val="20"/>
              </w:rPr>
              <w:t>TTS</w:t>
            </w:r>
          </w:p>
        </w:tc>
        <w:tc>
          <w:tcPr>
            <w:tcW w:w="932" w:type="dxa"/>
            <w:shd w:val="clear" w:color="auto" w:fill="E5EFE5" w:themeFill="background2"/>
          </w:tcPr>
          <w:p w14:paraId="17DB829D" w14:textId="77777777" w:rsidR="002A4D43" w:rsidRPr="002964D2" w:rsidRDefault="002A4D43" w:rsidP="00EF7060">
            <w:pPr>
              <w:overflowPunct/>
              <w:autoSpaceDE/>
              <w:autoSpaceDN/>
              <w:adjustRightInd/>
              <w:textAlignment w:val="auto"/>
              <w:rPr>
                <w:b/>
                <w:sz w:val="20"/>
              </w:rPr>
            </w:pPr>
            <w:r w:rsidRPr="002964D2">
              <w:rPr>
                <w:b/>
                <w:sz w:val="20"/>
              </w:rPr>
              <w:t>2027</w:t>
            </w:r>
          </w:p>
          <w:p w14:paraId="5B2E70B0" w14:textId="77777777" w:rsidR="002A4D43" w:rsidRPr="002964D2" w:rsidRDefault="002A4D43" w:rsidP="00EF7060">
            <w:pPr>
              <w:overflowPunct/>
              <w:autoSpaceDE/>
              <w:autoSpaceDN/>
              <w:adjustRightInd/>
              <w:textAlignment w:val="auto"/>
              <w:rPr>
                <w:b/>
                <w:sz w:val="20"/>
              </w:rPr>
            </w:pPr>
            <w:r w:rsidRPr="002964D2">
              <w:rPr>
                <w:b/>
                <w:sz w:val="20"/>
              </w:rPr>
              <w:t>TTS</w:t>
            </w:r>
          </w:p>
        </w:tc>
      </w:tr>
      <w:tr w:rsidR="002A4D43" w:rsidRPr="002964D2" w14:paraId="65751279" w14:textId="77777777" w:rsidTr="00EF7060">
        <w:trPr>
          <w:trHeight w:val="319"/>
        </w:trPr>
        <w:tc>
          <w:tcPr>
            <w:tcW w:w="3114" w:type="dxa"/>
            <w:vAlign w:val="center"/>
          </w:tcPr>
          <w:p w14:paraId="3E08A64E" w14:textId="77777777" w:rsidR="002A4D43" w:rsidRPr="00985ACB" w:rsidRDefault="002A4D43" w:rsidP="00EF7060">
            <w:pPr>
              <w:overflowPunct/>
              <w:autoSpaceDE/>
              <w:autoSpaceDN/>
              <w:adjustRightInd/>
              <w:textAlignment w:val="auto"/>
              <w:rPr>
                <w:bCs/>
                <w:sz w:val="20"/>
                <w:vertAlign w:val="superscript"/>
              </w:rPr>
            </w:pPr>
            <w:r w:rsidRPr="00985ACB">
              <w:rPr>
                <w:bCs/>
                <w:sz w:val="20"/>
              </w:rPr>
              <w:t xml:space="preserve">Nettomenot (milj. </w:t>
            </w:r>
            <w:proofErr w:type="gramStart"/>
            <w:r w:rsidRPr="00985ACB">
              <w:rPr>
                <w:bCs/>
                <w:sz w:val="20"/>
              </w:rPr>
              <w:t>€)</w:t>
            </w:r>
            <w:r w:rsidRPr="00985ACB">
              <w:rPr>
                <w:bCs/>
                <w:sz w:val="20"/>
                <w:vertAlign w:val="superscript"/>
              </w:rPr>
              <w:t>(</w:t>
            </w:r>
            <w:proofErr w:type="gramEnd"/>
            <w:r w:rsidRPr="00985ACB">
              <w:rPr>
                <w:bCs/>
                <w:sz w:val="20"/>
                <w:vertAlign w:val="superscript"/>
              </w:rPr>
              <w:t>1</w:t>
            </w:r>
          </w:p>
        </w:tc>
        <w:tc>
          <w:tcPr>
            <w:tcW w:w="931" w:type="dxa"/>
            <w:vAlign w:val="center"/>
          </w:tcPr>
          <w:p w14:paraId="6CE0DFD1" w14:textId="77777777" w:rsidR="002A4D43" w:rsidRPr="002964D2" w:rsidRDefault="002A4D43" w:rsidP="00EF7060">
            <w:pPr>
              <w:overflowPunct/>
              <w:autoSpaceDE/>
              <w:autoSpaceDN/>
              <w:adjustRightInd/>
              <w:jc w:val="right"/>
              <w:textAlignment w:val="auto"/>
              <w:rPr>
                <w:color w:val="000000" w:themeColor="text1"/>
                <w:sz w:val="20"/>
                <w:szCs w:val="18"/>
              </w:rPr>
            </w:pPr>
            <w:r w:rsidRPr="007A2737">
              <w:rPr>
                <w:sz w:val="20"/>
                <w:szCs w:val="18"/>
              </w:rPr>
              <w:t>419,7</w:t>
            </w:r>
          </w:p>
        </w:tc>
        <w:tc>
          <w:tcPr>
            <w:tcW w:w="931" w:type="dxa"/>
            <w:vAlign w:val="center"/>
          </w:tcPr>
          <w:p w14:paraId="09F73AD5" w14:textId="77777777" w:rsidR="002A4D43" w:rsidRPr="002964D2" w:rsidRDefault="002A4D43" w:rsidP="00EF7060">
            <w:pPr>
              <w:overflowPunct/>
              <w:autoSpaceDE/>
              <w:autoSpaceDN/>
              <w:adjustRightInd/>
              <w:jc w:val="right"/>
              <w:textAlignment w:val="auto"/>
              <w:rPr>
                <w:color w:val="000000" w:themeColor="text1"/>
                <w:sz w:val="20"/>
                <w:szCs w:val="18"/>
              </w:rPr>
            </w:pPr>
            <w:r w:rsidRPr="007A2737">
              <w:rPr>
                <w:sz w:val="20"/>
                <w:szCs w:val="18"/>
              </w:rPr>
              <w:t>430,0</w:t>
            </w:r>
          </w:p>
        </w:tc>
        <w:tc>
          <w:tcPr>
            <w:tcW w:w="932" w:type="dxa"/>
            <w:vAlign w:val="center"/>
          </w:tcPr>
          <w:p w14:paraId="6C98B20D"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440,0</w:t>
            </w:r>
          </w:p>
        </w:tc>
        <w:tc>
          <w:tcPr>
            <w:tcW w:w="931" w:type="dxa"/>
            <w:vAlign w:val="center"/>
          </w:tcPr>
          <w:p w14:paraId="38F39129"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437,1</w:t>
            </w:r>
          </w:p>
        </w:tc>
        <w:tc>
          <w:tcPr>
            <w:tcW w:w="932" w:type="dxa"/>
            <w:vAlign w:val="center"/>
          </w:tcPr>
          <w:p w14:paraId="7314B639"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424,2</w:t>
            </w:r>
          </w:p>
        </w:tc>
        <w:tc>
          <w:tcPr>
            <w:tcW w:w="931" w:type="dxa"/>
            <w:vAlign w:val="center"/>
          </w:tcPr>
          <w:p w14:paraId="7C9F8ADC"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415,1</w:t>
            </w:r>
          </w:p>
        </w:tc>
        <w:tc>
          <w:tcPr>
            <w:tcW w:w="932" w:type="dxa"/>
            <w:vAlign w:val="center"/>
          </w:tcPr>
          <w:p w14:paraId="0F9F1854"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414,3</w:t>
            </w:r>
          </w:p>
        </w:tc>
      </w:tr>
      <w:tr w:rsidR="002A4D43" w:rsidRPr="002964D2" w14:paraId="24BCD65E" w14:textId="77777777" w:rsidTr="00EF7060">
        <w:tc>
          <w:tcPr>
            <w:tcW w:w="3114" w:type="dxa"/>
            <w:vAlign w:val="center"/>
          </w:tcPr>
          <w:p w14:paraId="5752A27E" w14:textId="77777777" w:rsidR="002A4D43" w:rsidRPr="00985ACB" w:rsidRDefault="002A4D43" w:rsidP="00EF7060">
            <w:pPr>
              <w:overflowPunct/>
              <w:autoSpaceDE/>
              <w:autoSpaceDN/>
              <w:adjustRightInd/>
              <w:textAlignment w:val="auto"/>
              <w:rPr>
                <w:bCs/>
                <w:sz w:val="20"/>
              </w:rPr>
            </w:pPr>
            <w:r w:rsidRPr="00985ACB">
              <w:rPr>
                <w:bCs/>
                <w:sz w:val="20"/>
              </w:rPr>
              <w:t>Myönnetty määräraha (milj. €)</w:t>
            </w:r>
          </w:p>
        </w:tc>
        <w:tc>
          <w:tcPr>
            <w:tcW w:w="931" w:type="dxa"/>
          </w:tcPr>
          <w:p w14:paraId="1830A341" w14:textId="77777777" w:rsidR="002A4D43" w:rsidRPr="002964D2" w:rsidRDefault="002A4D43" w:rsidP="00EF7060">
            <w:pPr>
              <w:overflowPunct/>
              <w:autoSpaceDE/>
              <w:autoSpaceDN/>
              <w:adjustRightInd/>
              <w:jc w:val="right"/>
              <w:textAlignment w:val="auto"/>
              <w:rPr>
                <w:color w:val="000000" w:themeColor="text1"/>
                <w:sz w:val="20"/>
                <w:szCs w:val="18"/>
              </w:rPr>
            </w:pPr>
            <w:r w:rsidRPr="007A2737">
              <w:rPr>
                <w:sz w:val="20"/>
                <w:szCs w:val="18"/>
              </w:rPr>
              <w:t>432,7</w:t>
            </w:r>
          </w:p>
        </w:tc>
        <w:tc>
          <w:tcPr>
            <w:tcW w:w="931" w:type="dxa"/>
          </w:tcPr>
          <w:p w14:paraId="1CF3A22C" w14:textId="77777777" w:rsidR="002A4D43" w:rsidRPr="002964D2" w:rsidRDefault="002A4D43" w:rsidP="00EF7060">
            <w:pPr>
              <w:overflowPunct/>
              <w:autoSpaceDE/>
              <w:autoSpaceDN/>
              <w:adjustRightInd/>
              <w:jc w:val="right"/>
              <w:textAlignment w:val="auto"/>
              <w:rPr>
                <w:color w:val="000000" w:themeColor="text1"/>
                <w:sz w:val="20"/>
                <w:szCs w:val="18"/>
              </w:rPr>
            </w:pPr>
            <w:r w:rsidRPr="007662F3">
              <w:rPr>
                <w:sz w:val="20"/>
                <w:szCs w:val="18"/>
              </w:rPr>
              <w:t>410,7</w:t>
            </w:r>
          </w:p>
        </w:tc>
        <w:tc>
          <w:tcPr>
            <w:tcW w:w="932" w:type="dxa"/>
          </w:tcPr>
          <w:p w14:paraId="49A1363E" w14:textId="77777777" w:rsidR="002A4D43" w:rsidRPr="002964D2" w:rsidRDefault="002A4D43" w:rsidP="00EF7060">
            <w:pPr>
              <w:overflowPunct/>
              <w:autoSpaceDE/>
              <w:autoSpaceDN/>
              <w:adjustRightInd/>
              <w:jc w:val="right"/>
              <w:textAlignment w:val="auto"/>
              <w:rPr>
                <w:color w:val="000000" w:themeColor="text1"/>
                <w:sz w:val="20"/>
                <w:szCs w:val="18"/>
              </w:rPr>
            </w:pPr>
            <w:r w:rsidRPr="007662F3">
              <w:rPr>
                <w:sz w:val="20"/>
                <w:szCs w:val="18"/>
              </w:rPr>
              <w:t>400,6</w:t>
            </w:r>
          </w:p>
        </w:tc>
        <w:tc>
          <w:tcPr>
            <w:tcW w:w="931" w:type="dxa"/>
          </w:tcPr>
          <w:p w14:paraId="48AAD492" w14:textId="77777777" w:rsidR="002A4D43" w:rsidRPr="002964D2" w:rsidRDefault="002A4D43" w:rsidP="00EF7060">
            <w:pPr>
              <w:overflowPunct/>
              <w:autoSpaceDE/>
              <w:autoSpaceDN/>
              <w:adjustRightInd/>
              <w:jc w:val="right"/>
              <w:textAlignment w:val="auto"/>
              <w:rPr>
                <w:color w:val="000000" w:themeColor="text1"/>
                <w:sz w:val="20"/>
                <w:szCs w:val="18"/>
              </w:rPr>
            </w:pPr>
            <w:r w:rsidRPr="007662F3">
              <w:rPr>
                <w:sz w:val="20"/>
                <w:szCs w:val="18"/>
              </w:rPr>
              <w:t>403,</w:t>
            </w:r>
            <w:r w:rsidRPr="007A2737">
              <w:rPr>
                <w:sz w:val="20"/>
                <w:szCs w:val="18"/>
              </w:rPr>
              <w:t>4</w:t>
            </w:r>
          </w:p>
        </w:tc>
        <w:tc>
          <w:tcPr>
            <w:tcW w:w="932" w:type="dxa"/>
          </w:tcPr>
          <w:p w14:paraId="5CA9BC08" w14:textId="77777777" w:rsidR="002A4D43" w:rsidRPr="002964D2" w:rsidRDefault="002A4D43" w:rsidP="00EF7060">
            <w:pPr>
              <w:overflowPunct/>
              <w:autoSpaceDE/>
              <w:autoSpaceDN/>
              <w:adjustRightInd/>
              <w:jc w:val="right"/>
              <w:textAlignment w:val="auto"/>
              <w:rPr>
                <w:color w:val="000000" w:themeColor="text1"/>
                <w:sz w:val="20"/>
                <w:szCs w:val="18"/>
              </w:rPr>
            </w:pPr>
            <w:r w:rsidRPr="007A2737">
              <w:rPr>
                <w:sz w:val="20"/>
                <w:szCs w:val="18"/>
              </w:rPr>
              <w:t>402,9</w:t>
            </w:r>
          </w:p>
        </w:tc>
        <w:tc>
          <w:tcPr>
            <w:tcW w:w="931" w:type="dxa"/>
          </w:tcPr>
          <w:p w14:paraId="769F5452" w14:textId="77777777" w:rsidR="002A4D43" w:rsidRPr="002964D2" w:rsidRDefault="002A4D43" w:rsidP="00EF7060">
            <w:pPr>
              <w:overflowPunct/>
              <w:autoSpaceDE/>
              <w:autoSpaceDN/>
              <w:adjustRightInd/>
              <w:jc w:val="right"/>
              <w:textAlignment w:val="auto"/>
              <w:rPr>
                <w:color w:val="000000" w:themeColor="text1"/>
                <w:sz w:val="20"/>
                <w:szCs w:val="18"/>
              </w:rPr>
            </w:pPr>
            <w:r w:rsidRPr="007662F3">
              <w:rPr>
                <w:sz w:val="20"/>
                <w:szCs w:val="18"/>
              </w:rPr>
              <w:t>402,0</w:t>
            </w:r>
          </w:p>
        </w:tc>
        <w:tc>
          <w:tcPr>
            <w:tcW w:w="932" w:type="dxa"/>
          </w:tcPr>
          <w:p w14:paraId="5972D0B0" w14:textId="77777777" w:rsidR="002A4D43" w:rsidRPr="002964D2" w:rsidRDefault="002A4D43" w:rsidP="00EF7060">
            <w:pPr>
              <w:overflowPunct/>
              <w:autoSpaceDE/>
              <w:autoSpaceDN/>
              <w:adjustRightInd/>
              <w:jc w:val="right"/>
              <w:textAlignment w:val="auto"/>
              <w:rPr>
                <w:color w:val="000000" w:themeColor="text1"/>
                <w:sz w:val="20"/>
                <w:szCs w:val="18"/>
              </w:rPr>
            </w:pPr>
            <w:r w:rsidRPr="007662F3">
              <w:rPr>
                <w:sz w:val="20"/>
                <w:szCs w:val="18"/>
              </w:rPr>
              <w:t>402,0</w:t>
            </w:r>
          </w:p>
        </w:tc>
      </w:tr>
      <w:tr w:rsidR="002A4D43" w:rsidRPr="002964D2" w14:paraId="093AF2DF" w14:textId="77777777" w:rsidTr="00EF7060">
        <w:trPr>
          <w:trHeight w:val="60"/>
        </w:trPr>
        <w:tc>
          <w:tcPr>
            <w:tcW w:w="3114" w:type="dxa"/>
            <w:vAlign w:val="center"/>
          </w:tcPr>
          <w:p w14:paraId="7B78933C" w14:textId="77777777" w:rsidR="002A4D43" w:rsidRPr="00985ACB" w:rsidRDefault="002A4D43" w:rsidP="00EF7060">
            <w:pPr>
              <w:overflowPunct/>
              <w:autoSpaceDE/>
              <w:autoSpaceDN/>
              <w:adjustRightInd/>
              <w:textAlignment w:val="auto"/>
              <w:rPr>
                <w:bCs/>
                <w:sz w:val="20"/>
              </w:rPr>
            </w:pPr>
            <w:r w:rsidRPr="00985ACB">
              <w:rPr>
                <w:bCs/>
                <w:sz w:val="20"/>
              </w:rPr>
              <w:t>Siirtomääräkanta (31.12.)</w:t>
            </w:r>
          </w:p>
        </w:tc>
        <w:tc>
          <w:tcPr>
            <w:tcW w:w="931" w:type="dxa"/>
          </w:tcPr>
          <w:p w14:paraId="5BB562C0" w14:textId="77777777" w:rsidR="002A4D43" w:rsidRPr="002964D2" w:rsidRDefault="002A4D43" w:rsidP="00EF7060">
            <w:pPr>
              <w:overflowPunct/>
              <w:autoSpaceDE/>
              <w:autoSpaceDN/>
              <w:adjustRightInd/>
              <w:jc w:val="right"/>
              <w:textAlignment w:val="auto"/>
              <w:rPr>
                <w:color w:val="000000" w:themeColor="text1"/>
                <w:sz w:val="20"/>
                <w:szCs w:val="18"/>
              </w:rPr>
            </w:pPr>
            <w:r w:rsidRPr="007A2737">
              <w:rPr>
                <w:sz w:val="20"/>
                <w:szCs w:val="18"/>
              </w:rPr>
              <w:t>136,3</w:t>
            </w:r>
          </w:p>
        </w:tc>
        <w:tc>
          <w:tcPr>
            <w:tcW w:w="931" w:type="dxa"/>
          </w:tcPr>
          <w:p w14:paraId="589A46A0" w14:textId="77777777" w:rsidR="002A4D43" w:rsidRPr="002964D2" w:rsidRDefault="002A4D43" w:rsidP="00EF7060">
            <w:pPr>
              <w:overflowPunct/>
              <w:autoSpaceDE/>
              <w:autoSpaceDN/>
              <w:adjustRightInd/>
              <w:jc w:val="right"/>
              <w:textAlignment w:val="auto"/>
              <w:rPr>
                <w:color w:val="000000" w:themeColor="text1"/>
                <w:sz w:val="20"/>
                <w:szCs w:val="18"/>
              </w:rPr>
            </w:pPr>
            <w:r w:rsidRPr="007A2737">
              <w:rPr>
                <w:sz w:val="20"/>
                <w:szCs w:val="18"/>
              </w:rPr>
              <w:t>121,3</w:t>
            </w:r>
          </w:p>
        </w:tc>
        <w:tc>
          <w:tcPr>
            <w:tcW w:w="932" w:type="dxa"/>
          </w:tcPr>
          <w:p w14:paraId="31945107"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85,5</w:t>
            </w:r>
          </w:p>
        </w:tc>
        <w:tc>
          <w:tcPr>
            <w:tcW w:w="931" w:type="dxa"/>
          </w:tcPr>
          <w:p w14:paraId="21F53869"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55,5</w:t>
            </w:r>
          </w:p>
        </w:tc>
        <w:tc>
          <w:tcPr>
            <w:tcW w:w="932" w:type="dxa"/>
          </w:tcPr>
          <w:p w14:paraId="5781D6D4"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38,0</w:t>
            </w:r>
          </w:p>
        </w:tc>
        <w:tc>
          <w:tcPr>
            <w:tcW w:w="931" w:type="dxa"/>
          </w:tcPr>
          <w:p w14:paraId="2B1B762F"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28,6</w:t>
            </w:r>
          </w:p>
        </w:tc>
        <w:tc>
          <w:tcPr>
            <w:tcW w:w="932" w:type="dxa"/>
          </w:tcPr>
          <w:p w14:paraId="5791A384"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20,1</w:t>
            </w:r>
          </w:p>
        </w:tc>
      </w:tr>
      <w:tr w:rsidR="002A4D43" w:rsidRPr="002964D2" w14:paraId="699C1721" w14:textId="77777777" w:rsidTr="00EF7060">
        <w:trPr>
          <w:trHeight w:val="170"/>
        </w:trPr>
        <w:tc>
          <w:tcPr>
            <w:tcW w:w="3114" w:type="dxa"/>
            <w:vAlign w:val="center"/>
          </w:tcPr>
          <w:p w14:paraId="3584086A" w14:textId="77777777" w:rsidR="002A4D43" w:rsidRPr="00985ACB" w:rsidRDefault="002A4D43" w:rsidP="00EF7060">
            <w:pPr>
              <w:overflowPunct/>
              <w:autoSpaceDE/>
              <w:autoSpaceDN/>
              <w:adjustRightInd/>
              <w:textAlignment w:val="auto"/>
              <w:rPr>
                <w:bCs/>
                <w:sz w:val="20"/>
              </w:rPr>
            </w:pPr>
            <w:r w:rsidRPr="00985ACB">
              <w:rPr>
                <w:bCs/>
                <w:sz w:val="20"/>
              </w:rPr>
              <w:t>Henkilötyömäärätarve (Htv)</w:t>
            </w:r>
          </w:p>
        </w:tc>
        <w:tc>
          <w:tcPr>
            <w:tcW w:w="931" w:type="dxa"/>
          </w:tcPr>
          <w:p w14:paraId="25439537" w14:textId="77777777" w:rsidR="002A4D43" w:rsidRPr="002964D2" w:rsidRDefault="002A4D43" w:rsidP="00EF7060">
            <w:pPr>
              <w:overflowPunct/>
              <w:autoSpaceDE/>
              <w:autoSpaceDN/>
              <w:adjustRightInd/>
              <w:jc w:val="right"/>
              <w:textAlignment w:val="auto"/>
              <w:rPr>
                <w:color w:val="000000" w:themeColor="text1"/>
                <w:sz w:val="20"/>
                <w:szCs w:val="18"/>
              </w:rPr>
            </w:pPr>
            <w:r w:rsidRPr="007A2737">
              <w:rPr>
                <w:sz w:val="20"/>
                <w:szCs w:val="18"/>
              </w:rPr>
              <w:t xml:space="preserve">4 932 </w:t>
            </w:r>
          </w:p>
        </w:tc>
        <w:tc>
          <w:tcPr>
            <w:tcW w:w="931" w:type="dxa"/>
          </w:tcPr>
          <w:p w14:paraId="2CC01621"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 xml:space="preserve">5 027 </w:t>
            </w:r>
          </w:p>
        </w:tc>
        <w:tc>
          <w:tcPr>
            <w:tcW w:w="932" w:type="dxa"/>
          </w:tcPr>
          <w:p w14:paraId="601DBDD6"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5 107</w:t>
            </w:r>
          </w:p>
        </w:tc>
        <w:tc>
          <w:tcPr>
            <w:tcW w:w="931" w:type="dxa"/>
          </w:tcPr>
          <w:p w14:paraId="7008B061"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5 061</w:t>
            </w:r>
          </w:p>
        </w:tc>
        <w:tc>
          <w:tcPr>
            <w:tcW w:w="932" w:type="dxa"/>
          </w:tcPr>
          <w:p w14:paraId="186359D3"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4 893</w:t>
            </w:r>
          </w:p>
        </w:tc>
        <w:tc>
          <w:tcPr>
            <w:tcW w:w="931" w:type="dxa"/>
          </w:tcPr>
          <w:p w14:paraId="3679AC60"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4 723</w:t>
            </w:r>
          </w:p>
        </w:tc>
        <w:tc>
          <w:tcPr>
            <w:tcW w:w="932" w:type="dxa"/>
          </w:tcPr>
          <w:p w14:paraId="74D6A59B"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4 723</w:t>
            </w:r>
          </w:p>
        </w:tc>
      </w:tr>
      <w:tr w:rsidR="002A4D43" w:rsidRPr="002964D2" w14:paraId="23EA0021" w14:textId="77777777" w:rsidTr="00EF7060">
        <w:tc>
          <w:tcPr>
            <w:tcW w:w="3114" w:type="dxa"/>
            <w:vAlign w:val="center"/>
          </w:tcPr>
          <w:p w14:paraId="24303584" w14:textId="77777777" w:rsidR="002A4D43" w:rsidRPr="00985ACB" w:rsidRDefault="002A4D43" w:rsidP="00EF7060">
            <w:pPr>
              <w:overflowPunct/>
              <w:autoSpaceDE/>
              <w:autoSpaceDN/>
              <w:adjustRightInd/>
              <w:textAlignment w:val="auto"/>
              <w:rPr>
                <w:bCs/>
                <w:sz w:val="20"/>
                <w:vertAlign w:val="superscript"/>
              </w:rPr>
            </w:pPr>
            <w:r w:rsidRPr="00985ACB">
              <w:rPr>
                <w:bCs/>
                <w:sz w:val="20"/>
              </w:rPr>
              <w:t>VM TUSO-HTV-tavoite (Htv)</w:t>
            </w:r>
            <w:r w:rsidRPr="00985ACB">
              <w:rPr>
                <w:bCs/>
                <w:sz w:val="20"/>
                <w:vertAlign w:val="superscript"/>
              </w:rPr>
              <w:t>(2</w:t>
            </w:r>
          </w:p>
        </w:tc>
        <w:tc>
          <w:tcPr>
            <w:tcW w:w="931" w:type="dxa"/>
          </w:tcPr>
          <w:p w14:paraId="6881CB56" w14:textId="77777777" w:rsidR="002A4D43" w:rsidRPr="002964D2" w:rsidRDefault="002A4D43" w:rsidP="00EF7060">
            <w:pPr>
              <w:overflowPunct/>
              <w:autoSpaceDE/>
              <w:autoSpaceDN/>
              <w:adjustRightInd/>
              <w:jc w:val="right"/>
              <w:textAlignment w:val="auto"/>
              <w:rPr>
                <w:color w:val="000000" w:themeColor="text1"/>
                <w:sz w:val="20"/>
                <w:szCs w:val="18"/>
              </w:rPr>
            </w:pPr>
            <w:r w:rsidRPr="007A2737">
              <w:rPr>
                <w:sz w:val="20"/>
                <w:szCs w:val="18"/>
              </w:rPr>
              <w:t>4 985</w:t>
            </w:r>
          </w:p>
        </w:tc>
        <w:tc>
          <w:tcPr>
            <w:tcW w:w="931" w:type="dxa"/>
          </w:tcPr>
          <w:p w14:paraId="56629FE5"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 xml:space="preserve">4 973 </w:t>
            </w:r>
          </w:p>
        </w:tc>
        <w:tc>
          <w:tcPr>
            <w:tcW w:w="932" w:type="dxa"/>
          </w:tcPr>
          <w:p w14:paraId="209D057C"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5 127</w:t>
            </w:r>
          </w:p>
        </w:tc>
        <w:tc>
          <w:tcPr>
            <w:tcW w:w="931" w:type="dxa"/>
          </w:tcPr>
          <w:p w14:paraId="42E83219"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5 081</w:t>
            </w:r>
          </w:p>
        </w:tc>
        <w:tc>
          <w:tcPr>
            <w:tcW w:w="932" w:type="dxa"/>
          </w:tcPr>
          <w:p w14:paraId="60D6D0EE"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4 913</w:t>
            </w:r>
          </w:p>
        </w:tc>
        <w:tc>
          <w:tcPr>
            <w:tcW w:w="931" w:type="dxa"/>
          </w:tcPr>
          <w:p w14:paraId="2C1A3139"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4 743</w:t>
            </w:r>
          </w:p>
        </w:tc>
        <w:tc>
          <w:tcPr>
            <w:tcW w:w="932" w:type="dxa"/>
          </w:tcPr>
          <w:p w14:paraId="03DF2DBB" w14:textId="77777777" w:rsidR="002A4D43" w:rsidRPr="002964D2" w:rsidRDefault="002A4D43" w:rsidP="00EF7060">
            <w:pPr>
              <w:overflowPunct/>
              <w:autoSpaceDE/>
              <w:autoSpaceDN/>
              <w:adjustRightInd/>
              <w:jc w:val="right"/>
              <w:textAlignment w:val="auto"/>
              <w:rPr>
                <w:color w:val="FF0000"/>
                <w:sz w:val="20"/>
                <w:szCs w:val="18"/>
              </w:rPr>
            </w:pPr>
            <w:r w:rsidRPr="007A2737">
              <w:rPr>
                <w:sz w:val="20"/>
                <w:szCs w:val="18"/>
              </w:rPr>
              <w:t>4 743</w:t>
            </w:r>
          </w:p>
        </w:tc>
      </w:tr>
    </w:tbl>
    <w:p w14:paraId="6313B75F" w14:textId="77777777" w:rsidR="002A4D43" w:rsidRPr="002964D2" w:rsidRDefault="002A4D43" w:rsidP="002A4D43">
      <w:pPr>
        <w:numPr>
          <w:ilvl w:val="0"/>
          <w:numId w:val="21"/>
        </w:numPr>
        <w:overflowPunct/>
        <w:autoSpaceDE/>
        <w:autoSpaceDN/>
        <w:adjustRightInd/>
        <w:textAlignment w:val="auto"/>
        <w:rPr>
          <w:i/>
          <w:iCs/>
          <w:sz w:val="18"/>
        </w:rPr>
      </w:pPr>
      <w:r w:rsidRPr="002964D2">
        <w:rPr>
          <w:i/>
          <w:iCs/>
          <w:sz w:val="18"/>
        </w:rPr>
        <w:t>Verotustoiminnan konsernin sisäinen kehysraami perustuu JTS 2023-2026 (13.4.2022) päätökseen ja vuosien 2024–2027 kehysehdotuksen mahdollistamaan tilanteeseen (ns. myönnetyn rahoituksen max-taso).</w:t>
      </w:r>
    </w:p>
    <w:p w14:paraId="066E98FF" w14:textId="5336B9E3" w:rsidR="002A4D43" w:rsidRPr="002964D2" w:rsidRDefault="002A4D43" w:rsidP="002A4D43">
      <w:pPr>
        <w:numPr>
          <w:ilvl w:val="0"/>
          <w:numId w:val="21"/>
        </w:numPr>
        <w:rPr>
          <w:i/>
          <w:iCs/>
          <w:sz w:val="18"/>
        </w:rPr>
      </w:pPr>
      <w:r w:rsidRPr="002964D2">
        <w:rPr>
          <w:i/>
          <w:iCs/>
          <w:sz w:val="18"/>
        </w:rPr>
        <w:t>TUSO-HTV-tavoitteessa on huomioitu Tulorekisteriyksikön henkilötyön ostot Verohallinnon muista yksiköistä ostopalveluna</w:t>
      </w:r>
      <w:r w:rsidR="00254C24">
        <w:rPr>
          <w:i/>
          <w:iCs/>
          <w:sz w:val="18"/>
        </w:rPr>
        <w:t xml:space="preserve"> (</w:t>
      </w:r>
      <w:r w:rsidRPr="002964D2">
        <w:rPr>
          <w:i/>
          <w:iCs/>
          <w:sz w:val="18"/>
        </w:rPr>
        <w:t>kehyskauden keskimääräisen tarvetason mukaan 20 htv per vuosi</w:t>
      </w:r>
      <w:r w:rsidR="00254C24">
        <w:rPr>
          <w:i/>
          <w:iCs/>
          <w:sz w:val="18"/>
        </w:rPr>
        <w:t xml:space="preserve"> </w:t>
      </w:r>
      <w:r w:rsidRPr="002964D2">
        <w:rPr>
          <w:i/>
          <w:iCs/>
          <w:sz w:val="18"/>
        </w:rPr>
        <w:t>(v. 2023 alkaen).</w:t>
      </w:r>
    </w:p>
    <w:p w14:paraId="391BA2D3" w14:textId="77777777" w:rsidR="00D42741" w:rsidRPr="002964D2" w:rsidRDefault="00D42741" w:rsidP="002964D2">
      <w:pPr>
        <w:overflowPunct/>
        <w:autoSpaceDE/>
        <w:autoSpaceDN/>
        <w:adjustRightInd/>
        <w:textAlignment w:val="auto"/>
      </w:pPr>
    </w:p>
    <w:p w14:paraId="6AF063F3" w14:textId="3FEF3831" w:rsidR="00312A2D" w:rsidRPr="00E94304" w:rsidRDefault="005F3D46" w:rsidP="002964D2">
      <w:pPr>
        <w:overflowPunct/>
        <w:autoSpaceDE/>
        <w:autoSpaceDN/>
        <w:adjustRightInd/>
        <w:textAlignment w:val="auto"/>
      </w:pPr>
      <w:r w:rsidRPr="00E94304">
        <w:t>Suunnittelukaudella Verohallin</w:t>
      </w:r>
      <w:r w:rsidR="00254C24">
        <w:t>non</w:t>
      </w:r>
      <w:r w:rsidRPr="00E94304">
        <w:t xml:space="preserve"> </w:t>
      </w:r>
      <w:r w:rsidR="00312A2D" w:rsidRPr="00E94304">
        <w:t xml:space="preserve">tavoitteena on </w:t>
      </w:r>
      <w:r w:rsidRPr="00E94304">
        <w:t xml:space="preserve">edistää </w:t>
      </w:r>
      <w:r w:rsidR="002964D2" w:rsidRPr="00E94304">
        <w:t xml:space="preserve">mm. </w:t>
      </w:r>
    </w:p>
    <w:p w14:paraId="092F1679" w14:textId="77777777" w:rsidR="00312A2D" w:rsidRPr="00E94304" w:rsidRDefault="002964D2" w:rsidP="00AD6D2D">
      <w:pPr>
        <w:pStyle w:val="Luettelokappale"/>
        <w:numPr>
          <w:ilvl w:val="0"/>
          <w:numId w:val="36"/>
        </w:numPr>
        <w:overflowPunct/>
        <w:autoSpaceDE/>
        <w:autoSpaceDN/>
        <w:adjustRightInd/>
        <w:textAlignment w:val="auto"/>
      </w:pPr>
      <w:r w:rsidRPr="00E94304">
        <w:t xml:space="preserve">luonnollisten henkilöiden ennakonpidätysten </w:t>
      </w:r>
      <w:r w:rsidR="00F64A89" w:rsidRPr="00E94304">
        <w:t>uudi</w:t>
      </w:r>
      <w:r w:rsidRPr="00E94304">
        <w:t>stami</w:t>
      </w:r>
      <w:r w:rsidR="00312A2D" w:rsidRPr="00E94304">
        <w:t>sta</w:t>
      </w:r>
    </w:p>
    <w:p w14:paraId="2B5CFB5E" w14:textId="77777777" w:rsidR="00312A2D" w:rsidRPr="00E94304" w:rsidRDefault="002964D2" w:rsidP="00AD6D2D">
      <w:pPr>
        <w:pStyle w:val="Luettelokappale"/>
        <w:numPr>
          <w:ilvl w:val="0"/>
          <w:numId w:val="36"/>
        </w:numPr>
        <w:overflowPunct/>
        <w:autoSpaceDE/>
        <w:autoSpaceDN/>
        <w:adjustRightInd/>
        <w:textAlignment w:val="auto"/>
      </w:pPr>
      <w:r w:rsidRPr="00E94304">
        <w:t>lähdeverotuksen uudistami</w:t>
      </w:r>
      <w:r w:rsidR="00312A2D" w:rsidRPr="00E94304">
        <w:t>sta</w:t>
      </w:r>
    </w:p>
    <w:p w14:paraId="3E954559" w14:textId="77777777" w:rsidR="00312A2D" w:rsidRPr="00E94304" w:rsidRDefault="002964D2" w:rsidP="00AD6D2D">
      <w:pPr>
        <w:pStyle w:val="Luettelokappale"/>
        <w:numPr>
          <w:ilvl w:val="0"/>
          <w:numId w:val="36"/>
        </w:numPr>
        <w:overflowPunct/>
        <w:autoSpaceDE/>
        <w:autoSpaceDN/>
        <w:adjustRightInd/>
        <w:textAlignment w:val="auto"/>
      </w:pPr>
      <w:r w:rsidRPr="00E94304">
        <w:t>oletusarvois</w:t>
      </w:r>
      <w:r w:rsidR="00312A2D" w:rsidRPr="00E94304">
        <w:t>ta</w:t>
      </w:r>
      <w:r w:rsidRPr="00E94304">
        <w:t xml:space="preserve"> digitaalisuut</w:t>
      </w:r>
      <w:r w:rsidR="00312A2D" w:rsidRPr="00E94304">
        <w:t>ta</w:t>
      </w:r>
    </w:p>
    <w:p w14:paraId="74C905E8" w14:textId="77777777" w:rsidR="001B57BE" w:rsidRDefault="002964D2" w:rsidP="00EF7060">
      <w:pPr>
        <w:pStyle w:val="Luettelokappale"/>
        <w:numPr>
          <w:ilvl w:val="0"/>
          <w:numId w:val="36"/>
        </w:numPr>
        <w:overflowPunct/>
        <w:autoSpaceDE/>
        <w:autoSpaceDN/>
        <w:adjustRightInd/>
        <w:textAlignment w:val="auto"/>
      </w:pPr>
      <w:r w:rsidRPr="00E94304">
        <w:t>kuolinpesän asioinnin helpottami</w:t>
      </w:r>
      <w:r w:rsidR="001B57BE">
        <w:t>sta</w:t>
      </w:r>
    </w:p>
    <w:p w14:paraId="409584D5" w14:textId="43A13DF7" w:rsidR="00312A2D" w:rsidRPr="00E94304" w:rsidRDefault="002964D2" w:rsidP="00EF7060">
      <w:pPr>
        <w:pStyle w:val="Luettelokappale"/>
        <w:numPr>
          <w:ilvl w:val="0"/>
          <w:numId w:val="36"/>
        </w:numPr>
        <w:overflowPunct/>
        <w:autoSpaceDE/>
        <w:autoSpaceDN/>
        <w:adjustRightInd/>
        <w:textAlignment w:val="auto"/>
      </w:pPr>
      <w:r w:rsidRPr="00E94304">
        <w:t>yrittäjien toiminnan helpottami</w:t>
      </w:r>
      <w:r w:rsidR="001B57BE">
        <w:t>sta</w:t>
      </w:r>
    </w:p>
    <w:p w14:paraId="292A7AF3" w14:textId="77777777" w:rsidR="00312A2D" w:rsidRPr="00E94304" w:rsidRDefault="002964D2" w:rsidP="00AD6D2D">
      <w:pPr>
        <w:pStyle w:val="Luettelokappale"/>
        <w:numPr>
          <w:ilvl w:val="0"/>
          <w:numId w:val="36"/>
        </w:numPr>
        <w:overflowPunct/>
        <w:autoSpaceDE/>
        <w:autoSpaceDN/>
        <w:adjustRightInd/>
        <w:textAlignment w:val="auto"/>
      </w:pPr>
      <w:r w:rsidRPr="00E94304">
        <w:t>kevytyrittäjien lainsäädännön kokonaisselvityksen toteuttami</w:t>
      </w:r>
      <w:r w:rsidR="00312A2D" w:rsidRPr="00E94304">
        <w:t>sta</w:t>
      </w:r>
      <w:r w:rsidRPr="00E94304">
        <w:t xml:space="preserve"> </w:t>
      </w:r>
      <w:bookmarkStart w:id="18" w:name="_Hlk115175642"/>
    </w:p>
    <w:p w14:paraId="5F17173D" w14:textId="77777777" w:rsidR="00312A2D" w:rsidRDefault="00312A2D" w:rsidP="00312A2D">
      <w:pPr>
        <w:overflowPunct/>
        <w:autoSpaceDE/>
        <w:autoSpaceDN/>
        <w:adjustRightInd/>
        <w:textAlignment w:val="auto"/>
      </w:pPr>
    </w:p>
    <w:p w14:paraId="27A4EED7" w14:textId="26CC68A8" w:rsidR="002964D2" w:rsidRPr="002964D2" w:rsidRDefault="002964D2" w:rsidP="00312A2D">
      <w:pPr>
        <w:overflowPunct/>
        <w:autoSpaceDE/>
        <w:autoSpaceDN/>
        <w:adjustRightInd/>
        <w:textAlignment w:val="auto"/>
      </w:pPr>
      <w:r w:rsidRPr="002964D2">
        <w:t xml:space="preserve">Näiden esitysten osalta </w:t>
      </w:r>
      <w:r w:rsidR="00E566B8">
        <w:t xml:space="preserve">Verohallinto </w:t>
      </w:r>
      <w:r w:rsidRPr="002964D2">
        <w:t>ei ole teh</w:t>
      </w:r>
      <w:r w:rsidR="00E566B8">
        <w:t>nyt</w:t>
      </w:r>
      <w:r w:rsidRPr="002964D2">
        <w:t xml:space="preserve"> </w:t>
      </w:r>
      <w:r w:rsidR="00312A2D">
        <w:t>kehyssuunnitelmaan</w:t>
      </w:r>
      <w:r w:rsidRPr="002964D2">
        <w:t xml:space="preserve"> </w:t>
      </w:r>
      <w:r w:rsidR="00985ACB" w:rsidRPr="002964D2">
        <w:t>rahoitusvarauksia</w:t>
      </w:r>
      <w:r w:rsidR="00196FCF">
        <w:t>,</w:t>
      </w:r>
      <w:r w:rsidRPr="002964D2">
        <w:t xml:space="preserve"> vaan </w:t>
      </w:r>
      <w:r w:rsidR="00F068D4">
        <w:t>lisä</w:t>
      </w:r>
      <w:r w:rsidRPr="002964D2">
        <w:t>rahoitu</w:t>
      </w:r>
      <w:r w:rsidR="00F068D4">
        <w:t>kset</w:t>
      </w:r>
      <w:r w:rsidRPr="002964D2">
        <w:t xml:space="preserve"> odotetaan myönnettävän poliittisen päätöskäsittelyn yhteydessä.</w:t>
      </w:r>
      <w:bookmarkEnd w:id="18"/>
    </w:p>
    <w:p w14:paraId="7D6B719D" w14:textId="77777777" w:rsidR="002964D2" w:rsidRPr="002964D2" w:rsidRDefault="002964D2" w:rsidP="002964D2">
      <w:pPr>
        <w:overflowPunct/>
        <w:autoSpaceDE/>
        <w:autoSpaceDN/>
        <w:adjustRightInd/>
        <w:textAlignment w:val="auto"/>
        <w:rPr>
          <w:color w:val="000000" w:themeColor="text1"/>
        </w:rPr>
      </w:pPr>
      <w:r w:rsidRPr="002964D2">
        <w:rPr>
          <w:color w:val="000000" w:themeColor="text1"/>
        </w:rPr>
        <w:t xml:space="preserve"> </w:t>
      </w:r>
    </w:p>
    <w:p w14:paraId="17C90904" w14:textId="75D6F9AC" w:rsidR="002964D2" w:rsidRPr="002964D2" w:rsidRDefault="002964D2" w:rsidP="00C8060E">
      <w:pPr>
        <w:pStyle w:val="Otsikko3"/>
      </w:pPr>
      <w:bookmarkStart w:id="19" w:name="_Toc116560497"/>
      <w:r w:rsidRPr="002964D2">
        <w:lastRenderedPageBreak/>
        <w:t xml:space="preserve">Yhteenveto </w:t>
      </w:r>
      <w:r w:rsidRPr="002964D2">
        <w:rPr>
          <w:u w:val="single"/>
        </w:rPr>
        <w:t>tulorekisteritoiminnan</w:t>
      </w:r>
      <w:r w:rsidRPr="002964D2">
        <w:t xml:space="preserve"> kehyssuunnitelmasta</w:t>
      </w:r>
      <w:bookmarkEnd w:id="19"/>
    </w:p>
    <w:p w14:paraId="37544E70" w14:textId="5683783F" w:rsidR="002964D2" w:rsidRPr="002964D2" w:rsidRDefault="002964D2" w:rsidP="002964D2">
      <w:pPr>
        <w:overflowPunct/>
        <w:autoSpaceDE/>
        <w:autoSpaceDN/>
        <w:adjustRightInd/>
        <w:textAlignment w:val="auto"/>
      </w:pPr>
      <w:r w:rsidRPr="002964D2">
        <w:t xml:space="preserve">Tulorekisteritoiminnan perustoiminnan rahoitustaso tarkistettiin JTS 2023-2026 yhteydessä ja </w:t>
      </w:r>
      <w:r w:rsidR="008E59BB">
        <w:t>tuolloin r</w:t>
      </w:r>
      <w:r w:rsidRPr="002964D2">
        <w:t>ahoitustasoksi hyväksyttiin</w:t>
      </w:r>
      <w:r w:rsidR="007C46BD">
        <w:t xml:space="preserve"> </w:t>
      </w:r>
      <w:r w:rsidRPr="002964D2">
        <w:t>17,0 M€ per vuosi sisältäen 82 htv:n oman henkilön henkilöstömenot</w:t>
      </w:r>
      <w:r w:rsidR="00481FC5">
        <w:t>. P</w:t>
      </w:r>
      <w:r w:rsidRPr="002964D2">
        <w:t xml:space="preserve">oikkeuksena </w:t>
      </w:r>
      <w:r w:rsidR="00481FC5">
        <w:t xml:space="preserve">muodostaa </w:t>
      </w:r>
      <w:r w:rsidRPr="002964D2">
        <w:t>vuosi 2023, jonka osalta rahoituksessa on 2,0 M€:n rahoitusvaje.</w:t>
      </w:r>
    </w:p>
    <w:p w14:paraId="3851E13A" w14:textId="77777777" w:rsidR="002964D2" w:rsidRPr="002964D2" w:rsidRDefault="002964D2" w:rsidP="002964D2">
      <w:pPr>
        <w:overflowPunct/>
        <w:autoSpaceDE/>
        <w:autoSpaceDN/>
        <w:adjustRightInd/>
        <w:textAlignment w:val="auto"/>
      </w:pPr>
    </w:p>
    <w:p w14:paraId="1CDE48DD" w14:textId="541C80FD" w:rsidR="007C46BD" w:rsidRDefault="002964D2" w:rsidP="002964D2">
      <w:pPr>
        <w:overflowPunct/>
        <w:autoSpaceDE/>
        <w:autoSpaceDN/>
        <w:adjustRightInd/>
        <w:textAlignment w:val="auto"/>
      </w:pPr>
      <w:r w:rsidRPr="002964D2">
        <w:t>Perustoiminnan rahoitustasossa on huomioitu vuosittaisten pakollisten lainsäädäntö- ja sidosryhmämuutosten lisäksi sellainen pienkehitys, jo</w:t>
      </w:r>
      <w:r w:rsidR="00BD2A20">
        <w:t>hon</w:t>
      </w:r>
      <w:r w:rsidRPr="002964D2">
        <w:t xml:space="preserve"> ei</w:t>
      </w:r>
      <w:r w:rsidR="000F61F9">
        <w:t xml:space="preserve"> voida </w:t>
      </w:r>
      <w:r w:rsidRPr="002964D2">
        <w:t>hakea erillisrahoitusta sekä seuraavat erillisrahoitusta edellyttävät hankkeet:</w:t>
      </w:r>
    </w:p>
    <w:p w14:paraId="1D04F08D" w14:textId="77777777" w:rsidR="007C46BD" w:rsidRDefault="007C46BD" w:rsidP="00167872">
      <w:pPr>
        <w:overflowPunct/>
        <w:autoSpaceDE/>
        <w:autoSpaceDN/>
        <w:adjustRightInd/>
        <w:jc w:val="left"/>
        <w:textAlignment w:val="auto"/>
      </w:pPr>
    </w:p>
    <w:p w14:paraId="5A44C850" w14:textId="0B02C8DA" w:rsidR="007C46BD" w:rsidRPr="00B16C7A" w:rsidRDefault="007C46BD" w:rsidP="00167872">
      <w:pPr>
        <w:numPr>
          <w:ilvl w:val="0"/>
          <w:numId w:val="37"/>
        </w:numPr>
        <w:jc w:val="left"/>
        <w:rPr>
          <w:color w:val="000000" w:themeColor="text1"/>
        </w:rPr>
      </w:pPr>
      <w:r w:rsidRPr="00B16C7A">
        <w:rPr>
          <w:color w:val="000000" w:themeColor="text1"/>
        </w:rPr>
        <w:t>S</w:t>
      </w:r>
      <w:r w:rsidR="002964D2" w:rsidRPr="00B16C7A">
        <w:rPr>
          <w:color w:val="000000" w:themeColor="text1"/>
        </w:rPr>
        <w:t xml:space="preserve">ähköisen asioinnin identiteetinhallintamuutokset </w:t>
      </w:r>
      <w:r w:rsidR="008E59BB">
        <w:rPr>
          <w:color w:val="000000" w:themeColor="text1"/>
        </w:rPr>
        <w:t xml:space="preserve">kansalliseen </w:t>
      </w:r>
      <w:r w:rsidR="002964D2" w:rsidRPr="00B16C7A">
        <w:rPr>
          <w:color w:val="000000" w:themeColor="text1"/>
        </w:rPr>
        <w:t xml:space="preserve">tulorekisteriin (kansallisen henkilötunnusuudistuksen edellyttämät muutokset) </w:t>
      </w:r>
    </w:p>
    <w:p w14:paraId="4B4BB7FD" w14:textId="77777777" w:rsidR="007C46BD" w:rsidRPr="00B16C7A" w:rsidRDefault="007C46BD" w:rsidP="00167872">
      <w:pPr>
        <w:numPr>
          <w:ilvl w:val="0"/>
          <w:numId w:val="37"/>
        </w:numPr>
        <w:jc w:val="left"/>
        <w:rPr>
          <w:color w:val="000000" w:themeColor="text1"/>
        </w:rPr>
      </w:pPr>
      <w:r w:rsidRPr="00B16C7A">
        <w:rPr>
          <w:color w:val="000000" w:themeColor="text1"/>
        </w:rPr>
        <w:t>T</w:t>
      </w:r>
      <w:r w:rsidR="002964D2" w:rsidRPr="00B16C7A">
        <w:rPr>
          <w:color w:val="000000" w:themeColor="text1"/>
        </w:rPr>
        <w:t xml:space="preserve">ulorekisterin käyttövarmuuden turvaaminen (teknologiapäivitykset ja TE 2024-käyttöönotto). </w:t>
      </w:r>
    </w:p>
    <w:p w14:paraId="2979773D" w14:textId="77777777" w:rsidR="00EA0EE4" w:rsidRDefault="00EA0EE4" w:rsidP="007C46BD">
      <w:pPr>
        <w:overflowPunct/>
        <w:autoSpaceDE/>
        <w:autoSpaceDN/>
        <w:adjustRightInd/>
        <w:textAlignment w:val="auto"/>
      </w:pPr>
    </w:p>
    <w:p w14:paraId="23801F2E" w14:textId="786E9B4A" w:rsidR="002964D2" w:rsidRDefault="002964D2" w:rsidP="002964D2">
      <w:pPr>
        <w:overflowPunct/>
        <w:autoSpaceDE/>
        <w:autoSpaceDN/>
        <w:adjustRightInd/>
        <w:textAlignment w:val="auto"/>
      </w:pPr>
      <w:r w:rsidRPr="002964D2">
        <w:t xml:space="preserve">Näiden esitysten osalta </w:t>
      </w:r>
      <w:r w:rsidR="007C46BD">
        <w:t>kehyssuunnitelmaa</w:t>
      </w:r>
      <w:r w:rsidRPr="002964D2">
        <w:t xml:space="preserve">n on tehty rahoitusvaraukset. Lisäksi tulorekisteriin on </w:t>
      </w:r>
      <w:r w:rsidR="009D0677">
        <w:t>ehdotettu</w:t>
      </w:r>
      <w:r w:rsidRPr="002964D2">
        <w:t xml:space="preserve"> useita uusia muutoksia kuten tulorekisterin tietojen oikeellisuuden ja vastuiden uudelleen arviointi</w:t>
      </w:r>
      <w:r w:rsidR="00E4355E">
        <w:t>,</w:t>
      </w:r>
      <w:r w:rsidR="004D0A61">
        <w:t xml:space="preserve"> </w:t>
      </w:r>
      <w:r w:rsidRPr="002964D2">
        <w:t xml:space="preserve">tietojen korjaamisen kokonaisuudistus </w:t>
      </w:r>
      <w:r w:rsidR="004D0A61">
        <w:t>sekä</w:t>
      </w:r>
      <w:r w:rsidRPr="002964D2">
        <w:t xml:space="preserve"> sosiaaliturvan kokonaisuudistus</w:t>
      </w:r>
      <w:r w:rsidR="009D0677">
        <w:t xml:space="preserve">. </w:t>
      </w:r>
      <w:r w:rsidRPr="002964D2">
        <w:t xml:space="preserve">Näiden osalta </w:t>
      </w:r>
      <w:r w:rsidR="009D0677">
        <w:t>kehyssuunnitelmaa</w:t>
      </w:r>
      <w:r w:rsidRPr="002964D2">
        <w:t xml:space="preserve">n ei ole tehty </w:t>
      </w:r>
      <w:r w:rsidR="00985ACB" w:rsidRPr="002964D2">
        <w:t>rahoitusvarauksia,</w:t>
      </w:r>
      <w:r w:rsidRPr="002964D2">
        <w:t xml:space="preserve"> vaan rahoitus odotetaan myönnettävän aina poliittisten päätöskäsittelyn yhteydessä.</w:t>
      </w:r>
    </w:p>
    <w:p w14:paraId="3B204327" w14:textId="77777777" w:rsidR="008054AF" w:rsidRDefault="008054AF" w:rsidP="002964D2">
      <w:pPr>
        <w:overflowPunct/>
        <w:autoSpaceDE/>
        <w:autoSpaceDN/>
        <w:adjustRightInd/>
        <w:textAlignment w:val="auto"/>
      </w:pPr>
    </w:p>
    <w:p w14:paraId="7D47A07E" w14:textId="7332D0E6" w:rsidR="008054AF" w:rsidRPr="005D5768" w:rsidRDefault="008054AF" w:rsidP="008054AF">
      <w:pPr>
        <w:overflowPunct/>
        <w:autoSpaceDE/>
        <w:autoSpaceDN/>
        <w:adjustRightInd/>
        <w:textAlignment w:val="auto"/>
        <w:rPr>
          <w:bCs/>
          <w:color w:val="000000" w:themeColor="text1"/>
          <w:sz w:val="20"/>
        </w:rPr>
      </w:pPr>
      <w:r w:rsidRPr="002964D2">
        <w:rPr>
          <w:b/>
          <w:color w:val="000000" w:themeColor="text1"/>
          <w:sz w:val="20"/>
        </w:rPr>
        <w:t xml:space="preserve">Taulukko </w:t>
      </w:r>
      <w:r>
        <w:rPr>
          <w:b/>
          <w:color w:val="000000" w:themeColor="text1"/>
          <w:sz w:val="20"/>
        </w:rPr>
        <w:t>4</w:t>
      </w:r>
      <w:r w:rsidRPr="002964D2">
        <w:rPr>
          <w:b/>
          <w:color w:val="000000" w:themeColor="text1"/>
          <w:sz w:val="20"/>
        </w:rPr>
        <w:t xml:space="preserve">. Tulorekisteritoiminnan </w:t>
      </w:r>
      <w:r w:rsidR="009D0677">
        <w:rPr>
          <w:b/>
          <w:color w:val="000000" w:themeColor="text1"/>
          <w:sz w:val="20"/>
        </w:rPr>
        <w:t xml:space="preserve">kehyssuunnitelma </w:t>
      </w:r>
      <w:r w:rsidRPr="002964D2">
        <w:rPr>
          <w:b/>
          <w:color w:val="000000" w:themeColor="text1"/>
          <w:sz w:val="20"/>
        </w:rPr>
        <w:t xml:space="preserve">vuoteen 2027 asti </w:t>
      </w:r>
      <w:r w:rsidRPr="005D5768">
        <w:rPr>
          <w:bCs/>
          <w:color w:val="000000" w:themeColor="text1"/>
          <w:sz w:val="20"/>
        </w:rPr>
        <w:t>(tilanne 4.10.2022)</w:t>
      </w:r>
    </w:p>
    <w:p w14:paraId="7248E614" w14:textId="77777777" w:rsidR="002964D2" w:rsidRPr="002964D2" w:rsidRDefault="002964D2" w:rsidP="00FA1401">
      <w:pPr>
        <w:overflowPunct/>
        <w:autoSpaceDE/>
        <w:autoSpaceDN/>
        <w:adjustRightInd/>
        <w:spacing w:line="200" w:lineRule="exact"/>
        <w:textAlignment w:val="auto"/>
      </w:pPr>
    </w:p>
    <w:tbl>
      <w:tblPr>
        <w:tblStyle w:val="TaulukkoRuudukko1"/>
        <w:tblW w:w="9634" w:type="dxa"/>
        <w:tblLayout w:type="fixed"/>
        <w:tblLook w:val="04A0" w:firstRow="1" w:lastRow="0" w:firstColumn="1" w:lastColumn="0" w:noHBand="0" w:noVBand="1"/>
      </w:tblPr>
      <w:tblGrid>
        <w:gridCol w:w="3114"/>
        <w:gridCol w:w="931"/>
        <w:gridCol w:w="931"/>
        <w:gridCol w:w="932"/>
        <w:gridCol w:w="931"/>
        <w:gridCol w:w="932"/>
        <w:gridCol w:w="931"/>
        <w:gridCol w:w="932"/>
      </w:tblGrid>
      <w:tr w:rsidR="002964D2" w:rsidRPr="002964D2" w14:paraId="64E42F30" w14:textId="77777777" w:rsidTr="004D5BF0">
        <w:trPr>
          <w:trHeight w:val="263"/>
          <w:tblHeader/>
        </w:trPr>
        <w:tc>
          <w:tcPr>
            <w:tcW w:w="3114" w:type="dxa"/>
            <w:shd w:val="clear" w:color="auto" w:fill="E5EFE5" w:themeFill="background2"/>
          </w:tcPr>
          <w:p w14:paraId="71AF8D64" w14:textId="77777777" w:rsidR="002964D2" w:rsidRPr="002964D2" w:rsidRDefault="002964D2" w:rsidP="002964D2">
            <w:pPr>
              <w:overflowPunct/>
              <w:autoSpaceDE/>
              <w:autoSpaceDN/>
              <w:adjustRightInd/>
              <w:textAlignment w:val="auto"/>
              <w:rPr>
                <w:b/>
                <w:sz w:val="20"/>
              </w:rPr>
            </w:pPr>
            <w:r w:rsidRPr="002964D2">
              <w:rPr>
                <w:b/>
                <w:sz w:val="20"/>
              </w:rPr>
              <w:t>Mom. 28.10.03</w:t>
            </w:r>
          </w:p>
          <w:p w14:paraId="76D0268B" w14:textId="77777777" w:rsidR="002964D2" w:rsidRPr="002964D2" w:rsidRDefault="002964D2" w:rsidP="002964D2">
            <w:pPr>
              <w:overflowPunct/>
              <w:autoSpaceDE/>
              <w:autoSpaceDN/>
              <w:adjustRightInd/>
              <w:textAlignment w:val="auto"/>
              <w:rPr>
                <w:b/>
                <w:sz w:val="20"/>
              </w:rPr>
            </w:pPr>
            <w:r w:rsidRPr="002964D2">
              <w:rPr>
                <w:b/>
                <w:sz w:val="20"/>
              </w:rPr>
              <w:t>Tulorekisteritoiminta</w:t>
            </w:r>
          </w:p>
        </w:tc>
        <w:tc>
          <w:tcPr>
            <w:tcW w:w="931" w:type="dxa"/>
            <w:shd w:val="clear" w:color="auto" w:fill="E5EFE5" w:themeFill="background2"/>
          </w:tcPr>
          <w:p w14:paraId="2A638E05" w14:textId="77777777" w:rsidR="002964D2" w:rsidRPr="002964D2" w:rsidRDefault="002964D2" w:rsidP="002964D2">
            <w:pPr>
              <w:overflowPunct/>
              <w:autoSpaceDE/>
              <w:autoSpaceDN/>
              <w:adjustRightInd/>
              <w:textAlignment w:val="auto"/>
              <w:rPr>
                <w:b/>
                <w:sz w:val="20"/>
              </w:rPr>
            </w:pPr>
            <w:r w:rsidRPr="002964D2">
              <w:rPr>
                <w:b/>
                <w:sz w:val="20"/>
              </w:rPr>
              <w:t>2021</w:t>
            </w:r>
          </w:p>
          <w:p w14:paraId="484C2278" w14:textId="77777777" w:rsidR="002964D2" w:rsidRPr="002964D2" w:rsidRDefault="002964D2" w:rsidP="002964D2">
            <w:pPr>
              <w:overflowPunct/>
              <w:autoSpaceDE/>
              <w:autoSpaceDN/>
              <w:adjustRightInd/>
              <w:textAlignment w:val="auto"/>
              <w:rPr>
                <w:b/>
                <w:sz w:val="20"/>
              </w:rPr>
            </w:pPr>
            <w:r w:rsidRPr="002964D2">
              <w:rPr>
                <w:b/>
                <w:sz w:val="20"/>
              </w:rPr>
              <w:t>Tot.</w:t>
            </w:r>
          </w:p>
        </w:tc>
        <w:tc>
          <w:tcPr>
            <w:tcW w:w="931" w:type="dxa"/>
            <w:shd w:val="clear" w:color="auto" w:fill="E5EFE5" w:themeFill="background2"/>
          </w:tcPr>
          <w:p w14:paraId="2BD32877" w14:textId="77777777" w:rsidR="002964D2" w:rsidRPr="002964D2" w:rsidRDefault="002964D2" w:rsidP="002964D2">
            <w:pPr>
              <w:overflowPunct/>
              <w:autoSpaceDE/>
              <w:autoSpaceDN/>
              <w:adjustRightInd/>
              <w:textAlignment w:val="auto"/>
              <w:rPr>
                <w:b/>
                <w:sz w:val="20"/>
              </w:rPr>
            </w:pPr>
            <w:r w:rsidRPr="002964D2">
              <w:rPr>
                <w:b/>
                <w:sz w:val="20"/>
              </w:rPr>
              <w:t>2022</w:t>
            </w:r>
          </w:p>
          <w:p w14:paraId="5EC43306" w14:textId="77777777" w:rsidR="002964D2" w:rsidRPr="002964D2" w:rsidRDefault="002964D2" w:rsidP="002964D2">
            <w:pPr>
              <w:overflowPunct/>
              <w:autoSpaceDE/>
              <w:autoSpaceDN/>
              <w:adjustRightInd/>
              <w:textAlignment w:val="auto"/>
              <w:rPr>
                <w:b/>
                <w:sz w:val="20"/>
              </w:rPr>
            </w:pPr>
            <w:r w:rsidRPr="002964D2">
              <w:rPr>
                <w:b/>
                <w:sz w:val="20"/>
              </w:rPr>
              <w:t>Arvio</w:t>
            </w:r>
          </w:p>
        </w:tc>
        <w:tc>
          <w:tcPr>
            <w:tcW w:w="932" w:type="dxa"/>
            <w:shd w:val="clear" w:color="auto" w:fill="E5EFE5" w:themeFill="background2"/>
          </w:tcPr>
          <w:p w14:paraId="27E64632" w14:textId="77777777" w:rsidR="002964D2" w:rsidRPr="002964D2" w:rsidRDefault="002964D2" w:rsidP="002964D2">
            <w:pPr>
              <w:overflowPunct/>
              <w:autoSpaceDE/>
              <w:autoSpaceDN/>
              <w:adjustRightInd/>
              <w:textAlignment w:val="auto"/>
              <w:rPr>
                <w:b/>
                <w:sz w:val="20"/>
              </w:rPr>
            </w:pPr>
            <w:r w:rsidRPr="002964D2">
              <w:rPr>
                <w:b/>
                <w:sz w:val="20"/>
              </w:rPr>
              <w:t>2023</w:t>
            </w:r>
          </w:p>
          <w:p w14:paraId="481FBDE9" w14:textId="77777777" w:rsidR="002964D2" w:rsidRPr="002964D2" w:rsidRDefault="002964D2" w:rsidP="002964D2">
            <w:pPr>
              <w:overflowPunct/>
              <w:autoSpaceDE/>
              <w:autoSpaceDN/>
              <w:adjustRightInd/>
              <w:textAlignment w:val="auto"/>
              <w:rPr>
                <w:b/>
                <w:sz w:val="20"/>
              </w:rPr>
            </w:pPr>
            <w:r w:rsidRPr="002964D2">
              <w:rPr>
                <w:b/>
                <w:sz w:val="20"/>
              </w:rPr>
              <w:t>TAE</w:t>
            </w:r>
          </w:p>
        </w:tc>
        <w:tc>
          <w:tcPr>
            <w:tcW w:w="931" w:type="dxa"/>
            <w:shd w:val="clear" w:color="auto" w:fill="E5EFE5" w:themeFill="background2"/>
          </w:tcPr>
          <w:p w14:paraId="04C57402" w14:textId="77777777" w:rsidR="002964D2" w:rsidRPr="002964D2" w:rsidRDefault="002964D2" w:rsidP="002964D2">
            <w:pPr>
              <w:overflowPunct/>
              <w:autoSpaceDE/>
              <w:autoSpaceDN/>
              <w:adjustRightInd/>
              <w:textAlignment w:val="auto"/>
              <w:rPr>
                <w:b/>
                <w:sz w:val="20"/>
              </w:rPr>
            </w:pPr>
            <w:r w:rsidRPr="002964D2">
              <w:rPr>
                <w:b/>
                <w:sz w:val="20"/>
              </w:rPr>
              <w:t>2024</w:t>
            </w:r>
          </w:p>
          <w:p w14:paraId="26001478" w14:textId="77777777" w:rsidR="002964D2" w:rsidRPr="002964D2" w:rsidRDefault="002964D2" w:rsidP="002964D2">
            <w:pPr>
              <w:overflowPunct/>
              <w:autoSpaceDE/>
              <w:autoSpaceDN/>
              <w:adjustRightInd/>
              <w:textAlignment w:val="auto"/>
              <w:rPr>
                <w:b/>
                <w:sz w:val="20"/>
              </w:rPr>
            </w:pPr>
            <w:r w:rsidRPr="002964D2">
              <w:rPr>
                <w:b/>
                <w:sz w:val="20"/>
              </w:rPr>
              <w:t>TTS</w:t>
            </w:r>
          </w:p>
        </w:tc>
        <w:tc>
          <w:tcPr>
            <w:tcW w:w="932" w:type="dxa"/>
            <w:shd w:val="clear" w:color="auto" w:fill="E5EFE5" w:themeFill="background2"/>
          </w:tcPr>
          <w:p w14:paraId="6C1E0BB8" w14:textId="77777777" w:rsidR="002964D2" w:rsidRPr="002964D2" w:rsidRDefault="002964D2" w:rsidP="002964D2">
            <w:pPr>
              <w:overflowPunct/>
              <w:autoSpaceDE/>
              <w:autoSpaceDN/>
              <w:adjustRightInd/>
              <w:ind w:left="-526" w:firstLine="526"/>
              <w:textAlignment w:val="auto"/>
              <w:rPr>
                <w:b/>
                <w:sz w:val="20"/>
              </w:rPr>
            </w:pPr>
            <w:r w:rsidRPr="002964D2">
              <w:rPr>
                <w:b/>
                <w:sz w:val="20"/>
              </w:rPr>
              <w:t>2025</w:t>
            </w:r>
          </w:p>
          <w:p w14:paraId="57B480A9" w14:textId="77777777" w:rsidR="002964D2" w:rsidRPr="002964D2" w:rsidRDefault="002964D2" w:rsidP="002964D2">
            <w:pPr>
              <w:overflowPunct/>
              <w:autoSpaceDE/>
              <w:autoSpaceDN/>
              <w:adjustRightInd/>
              <w:textAlignment w:val="auto"/>
              <w:rPr>
                <w:b/>
                <w:sz w:val="20"/>
              </w:rPr>
            </w:pPr>
            <w:r w:rsidRPr="002964D2">
              <w:rPr>
                <w:b/>
                <w:sz w:val="20"/>
              </w:rPr>
              <w:t>TTS</w:t>
            </w:r>
          </w:p>
        </w:tc>
        <w:tc>
          <w:tcPr>
            <w:tcW w:w="931" w:type="dxa"/>
            <w:shd w:val="clear" w:color="auto" w:fill="E5EFE5" w:themeFill="background2"/>
          </w:tcPr>
          <w:p w14:paraId="42B8C61C" w14:textId="77777777" w:rsidR="002964D2" w:rsidRPr="002964D2" w:rsidRDefault="002964D2" w:rsidP="002964D2">
            <w:pPr>
              <w:overflowPunct/>
              <w:autoSpaceDE/>
              <w:autoSpaceDN/>
              <w:adjustRightInd/>
              <w:textAlignment w:val="auto"/>
              <w:rPr>
                <w:b/>
                <w:sz w:val="20"/>
              </w:rPr>
            </w:pPr>
            <w:r w:rsidRPr="002964D2">
              <w:rPr>
                <w:b/>
                <w:sz w:val="20"/>
              </w:rPr>
              <w:t>2026</w:t>
            </w:r>
          </w:p>
          <w:p w14:paraId="4594FD88" w14:textId="77777777" w:rsidR="002964D2" w:rsidRPr="002964D2" w:rsidRDefault="002964D2" w:rsidP="002964D2">
            <w:pPr>
              <w:overflowPunct/>
              <w:autoSpaceDE/>
              <w:autoSpaceDN/>
              <w:adjustRightInd/>
              <w:textAlignment w:val="auto"/>
              <w:rPr>
                <w:b/>
                <w:sz w:val="20"/>
              </w:rPr>
            </w:pPr>
            <w:r w:rsidRPr="002964D2">
              <w:rPr>
                <w:b/>
                <w:sz w:val="20"/>
              </w:rPr>
              <w:t>TTS</w:t>
            </w:r>
          </w:p>
        </w:tc>
        <w:tc>
          <w:tcPr>
            <w:tcW w:w="932" w:type="dxa"/>
            <w:shd w:val="clear" w:color="auto" w:fill="E5EFE5" w:themeFill="background2"/>
          </w:tcPr>
          <w:p w14:paraId="7FCF30AE" w14:textId="77777777" w:rsidR="002964D2" w:rsidRPr="002964D2" w:rsidRDefault="002964D2" w:rsidP="002964D2">
            <w:pPr>
              <w:overflowPunct/>
              <w:autoSpaceDE/>
              <w:autoSpaceDN/>
              <w:adjustRightInd/>
              <w:textAlignment w:val="auto"/>
              <w:rPr>
                <w:b/>
                <w:sz w:val="20"/>
              </w:rPr>
            </w:pPr>
            <w:r w:rsidRPr="002964D2">
              <w:rPr>
                <w:b/>
                <w:sz w:val="20"/>
              </w:rPr>
              <w:t>2027</w:t>
            </w:r>
          </w:p>
          <w:p w14:paraId="4A8B8117" w14:textId="77777777" w:rsidR="002964D2" w:rsidRPr="002964D2" w:rsidRDefault="002964D2" w:rsidP="002964D2">
            <w:pPr>
              <w:overflowPunct/>
              <w:autoSpaceDE/>
              <w:autoSpaceDN/>
              <w:adjustRightInd/>
              <w:textAlignment w:val="auto"/>
              <w:rPr>
                <w:b/>
                <w:sz w:val="20"/>
              </w:rPr>
            </w:pPr>
            <w:r w:rsidRPr="002964D2">
              <w:rPr>
                <w:b/>
                <w:sz w:val="20"/>
              </w:rPr>
              <w:t>TTS</w:t>
            </w:r>
          </w:p>
        </w:tc>
      </w:tr>
      <w:tr w:rsidR="004D41A6" w:rsidRPr="002964D2" w14:paraId="6B52081F" w14:textId="77777777" w:rsidTr="008E45D5">
        <w:trPr>
          <w:trHeight w:val="319"/>
        </w:trPr>
        <w:tc>
          <w:tcPr>
            <w:tcW w:w="3114" w:type="dxa"/>
            <w:vAlign w:val="center"/>
          </w:tcPr>
          <w:p w14:paraId="20F32A7E" w14:textId="77777777" w:rsidR="004D41A6" w:rsidRPr="00985ACB" w:rsidRDefault="004D41A6" w:rsidP="004D41A6">
            <w:pPr>
              <w:overflowPunct/>
              <w:autoSpaceDE/>
              <w:autoSpaceDN/>
              <w:adjustRightInd/>
              <w:textAlignment w:val="auto"/>
              <w:rPr>
                <w:bCs/>
                <w:sz w:val="20"/>
                <w:vertAlign w:val="superscript"/>
              </w:rPr>
            </w:pPr>
            <w:r w:rsidRPr="00985ACB">
              <w:rPr>
                <w:bCs/>
                <w:sz w:val="20"/>
              </w:rPr>
              <w:t>Nettomenot (milj. €)</w:t>
            </w:r>
            <w:r w:rsidRPr="00985ACB">
              <w:rPr>
                <w:bCs/>
                <w:sz w:val="20"/>
                <w:vertAlign w:val="superscript"/>
              </w:rPr>
              <w:t>(1</w:t>
            </w:r>
          </w:p>
        </w:tc>
        <w:tc>
          <w:tcPr>
            <w:tcW w:w="931" w:type="dxa"/>
            <w:vAlign w:val="center"/>
          </w:tcPr>
          <w:p w14:paraId="2BB1E663" w14:textId="5DE16193" w:rsidR="004D41A6" w:rsidRPr="002964D2" w:rsidRDefault="004D41A6" w:rsidP="004D41A6">
            <w:pPr>
              <w:overflowPunct/>
              <w:autoSpaceDE/>
              <w:autoSpaceDN/>
              <w:adjustRightInd/>
              <w:jc w:val="right"/>
              <w:textAlignment w:val="auto"/>
              <w:rPr>
                <w:sz w:val="20"/>
                <w:szCs w:val="18"/>
              </w:rPr>
            </w:pPr>
            <w:r w:rsidRPr="002964D2">
              <w:rPr>
                <w:sz w:val="20"/>
                <w:szCs w:val="18"/>
              </w:rPr>
              <w:t>17,6</w:t>
            </w:r>
          </w:p>
        </w:tc>
        <w:tc>
          <w:tcPr>
            <w:tcW w:w="931" w:type="dxa"/>
            <w:vAlign w:val="center"/>
          </w:tcPr>
          <w:p w14:paraId="62E029CC" w14:textId="220410CC" w:rsidR="004D41A6" w:rsidRPr="002964D2" w:rsidRDefault="004D41A6" w:rsidP="004D41A6">
            <w:pPr>
              <w:overflowPunct/>
              <w:autoSpaceDE/>
              <w:autoSpaceDN/>
              <w:adjustRightInd/>
              <w:jc w:val="right"/>
              <w:textAlignment w:val="auto"/>
              <w:rPr>
                <w:sz w:val="20"/>
                <w:szCs w:val="18"/>
              </w:rPr>
            </w:pPr>
            <w:r w:rsidRPr="00E540E7">
              <w:rPr>
                <w:sz w:val="20"/>
                <w:szCs w:val="18"/>
              </w:rPr>
              <w:t>16,8</w:t>
            </w:r>
          </w:p>
        </w:tc>
        <w:tc>
          <w:tcPr>
            <w:tcW w:w="932" w:type="dxa"/>
            <w:vAlign w:val="center"/>
          </w:tcPr>
          <w:p w14:paraId="4CB05C0A" w14:textId="0AD4F045" w:rsidR="004D41A6" w:rsidRPr="002964D2" w:rsidRDefault="004D41A6" w:rsidP="004D41A6">
            <w:pPr>
              <w:overflowPunct/>
              <w:autoSpaceDE/>
              <w:autoSpaceDN/>
              <w:adjustRightInd/>
              <w:jc w:val="right"/>
              <w:textAlignment w:val="auto"/>
              <w:rPr>
                <w:sz w:val="20"/>
                <w:szCs w:val="18"/>
              </w:rPr>
            </w:pPr>
            <w:r w:rsidRPr="00E540E7">
              <w:rPr>
                <w:sz w:val="20"/>
                <w:szCs w:val="18"/>
              </w:rPr>
              <w:t>19,8</w:t>
            </w:r>
          </w:p>
        </w:tc>
        <w:tc>
          <w:tcPr>
            <w:tcW w:w="931" w:type="dxa"/>
            <w:vAlign w:val="center"/>
          </w:tcPr>
          <w:p w14:paraId="24C7B8D0" w14:textId="279E52AA" w:rsidR="004D41A6" w:rsidRPr="002964D2" w:rsidRDefault="004D41A6" w:rsidP="004D41A6">
            <w:pPr>
              <w:overflowPunct/>
              <w:autoSpaceDE/>
              <w:autoSpaceDN/>
              <w:adjustRightInd/>
              <w:jc w:val="right"/>
              <w:textAlignment w:val="auto"/>
              <w:rPr>
                <w:sz w:val="20"/>
                <w:szCs w:val="18"/>
              </w:rPr>
            </w:pPr>
            <w:r w:rsidRPr="00E540E7">
              <w:rPr>
                <w:sz w:val="20"/>
                <w:szCs w:val="18"/>
              </w:rPr>
              <w:t>20,5</w:t>
            </w:r>
          </w:p>
        </w:tc>
        <w:tc>
          <w:tcPr>
            <w:tcW w:w="932" w:type="dxa"/>
            <w:vAlign w:val="center"/>
          </w:tcPr>
          <w:p w14:paraId="1D09BA7D" w14:textId="5348D31E" w:rsidR="004D41A6" w:rsidRPr="002964D2" w:rsidRDefault="004D41A6" w:rsidP="004D41A6">
            <w:pPr>
              <w:overflowPunct/>
              <w:autoSpaceDE/>
              <w:autoSpaceDN/>
              <w:adjustRightInd/>
              <w:jc w:val="right"/>
              <w:textAlignment w:val="auto"/>
              <w:rPr>
                <w:sz w:val="20"/>
                <w:szCs w:val="18"/>
              </w:rPr>
            </w:pPr>
            <w:r w:rsidRPr="00E540E7">
              <w:rPr>
                <w:sz w:val="20"/>
                <w:szCs w:val="18"/>
              </w:rPr>
              <w:t>19,2</w:t>
            </w:r>
          </w:p>
        </w:tc>
        <w:tc>
          <w:tcPr>
            <w:tcW w:w="931" w:type="dxa"/>
            <w:vAlign w:val="center"/>
          </w:tcPr>
          <w:p w14:paraId="1944065C" w14:textId="1891C64D" w:rsidR="004D41A6" w:rsidRPr="002964D2" w:rsidRDefault="004D41A6" w:rsidP="004D41A6">
            <w:pPr>
              <w:overflowPunct/>
              <w:autoSpaceDE/>
              <w:autoSpaceDN/>
              <w:adjustRightInd/>
              <w:jc w:val="right"/>
              <w:textAlignment w:val="auto"/>
              <w:rPr>
                <w:sz w:val="20"/>
                <w:szCs w:val="18"/>
              </w:rPr>
            </w:pPr>
            <w:r w:rsidRPr="00E540E7">
              <w:rPr>
                <w:sz w:val="20"/>
                <w:szCs w:val="18"/>
              </w:rPr>
              <w:t>17,2</w:t>
            </w:r>
          </w:p>
        </w:tc>
        <w:tc>
          <w:tcPr>
            <w:tcW w:w="932" w:type="dxa"/>
            <w:vAlign w:val="center"/>
          </w:tcPr>
          <w:p w14:paraId="61B4ACB2" w14:textId="305A63EA" w:rsidR="004D41A6" w:rsidRPr="002964D2" w:rsidRDefault="004D41A6" w:rsidP="004D41A6">
            <w:pPr>
              <w:overflowPunct/>
              <w:autoSpaceDE/>
              <w:autoSpaceDN/>
              <w:adjustRightInd/>
              <w:jc w:val="right"/>
              <w:textAlignment w:val="auto"/>
              <w:rPr>
                <w:sz w:val="20"/>
                <w:szCs w:val="18"/>
              </w:rPr>
            </w:pPr>
            <w:r w:rsidRPr="00E540E7">
              <w:rPr>
                <w:sz w:val="20"/>
                <w:szCs w:val="18"/>
              </w:rPr>
              <w:t>17,1</w:t>
            </w:r>
          </w:p>
        </w:tc>
      </w:tr>
      <w:tr w:rsidR="004D41A6" w:rsidRPr="002964D2" w14:paraId="4865BA3E" w14:textId="77777777" w:rsidTr="00A732EC">
        <w:tc>
          <w:tcPr>
            <w:tcW w:w="3114" w:type="dxa"/>
            <w:vAlign w:val="center"/>
          </w:tcPr>
          <w:p w14:paraId="450E76D6" w14:textId="77777777" w:rsidR="004D41A6" w:rsidRPr="00985ACB" w:rsidRDefault="004D41A6" w:rsidP="004D41A6">
            <w:pPr>
              <w:overflowPunct/>
              <w:autoSpaceDE/>
              <w:autoSpaceDN/>
              <w:adjustRightInd/>
              <w:textAlignment w:val="auto"/>
              <w:rPr>
                <w:bCs/>
                <w:sz w:val="20"/>
                <w:vertAlign w:val="superscript"/>
              </w:rPr>
            </w:pPr>
            <w:r w:rsidRPr="00985ACB">
              <w:rPr>
                <w:bCs/>
                <w:sz w:val="20"/>
              </w:rPr>
              <w:t>Myönnetty määräraha (milj. €)</w:t>
            </w:r>
            <w:r w:rsidRPr="00985ACB">
              <w:rPr>
                <w:bCs/>
                <w:sz w:val="20"/>
                <w:vertAlign w:val="superscript"/>
              </w:rPr>
              <w:t>(3</w:t>
            </w:r>
          </w:p>
        </w:tc>
        <w:tc>
          <w:tcPr>
            <w:tcW w:w="931" w:type="dxa"/>
            <w:vAlign w:val="center"/>
          </w:tcPr>
          <w:p w14:paraId="56F1C708" w14:textId="26CA9A3B" w:rsidR="004D41A6" w:rsidRPr="002964D2" w:rsidRDefault="004D41A6" w:rsidP="004D41A6">
            <w:pPr>
              <w:overflowPunct/>
              <w:autoSpaceDE/>
              <w:autoSpaceDN/>
              <w:adjustRightInd/>
              <w:jc w:val="right"/>
              <w:textAlignment w:val="auto"/>
              <w:rPr>
                <w:sz w:val="20"/>
                <w:szCs w:val="18"/>
              </w:rPr>
            </w:pPr>
            <w:r w:rsidRPr="002964D2">
              <w:rPr>
                <w:sz w:val="20"/>
                <w:szCs w:val="18"/>
              </w:rPr>
              <w:t>12,6</w:t>
            </w:r>
          </w:p>
        </w:tc>
        <w:tc>
          <w:tcPr>
            <w:tcW w:w="931" w:type="dxa"/>
          </w:tcPr>
          <w:p w14:paraId="146D6F33" w14:textId="1690E24C" w:rsidR="004D41A6" w:rsidRPr="002964D2" w:rsidRDefault="004D41A6" w:rsidP="004D41A6">
            <w:pPr>
              <w:overflowPunct/>
              <w:autoSpaceDE/>
              <w:autoSpaceDN/>
              <w:adjustRightInd/>
              <w:jc w:val="right"/>
              <w:textAlignment w:val="auto"/>
              <w:rPr>
                <w:sz w:val="20"/>
                <w:szCs w:val="18"/>
              </w:rPr>
            </w:pPr>
            <w:r w:rsidRPr="00E540E7">
              <w:rPr>
                <w:sz w:val="20"/>
                <w:szCs w:val="18"/>
              </w:rPr>
              <w:t>16,7</w:t>
            </w:r>
          </w:p>
        </w:tc>
        <w:tc>
          <w:tcPr>
            <w:tcW w:w="932" w:type="dxa"/>
          </w:tcPr>
          <w:p w14:paraId="454FC394" w14:textId="552BCFC3" w:rsidR="004D41A6" w:rsidRPr="002964D2" w:rsidRDefault="004D41A6" w:rsidP="004D41A6">
            <w:pPr>
              <w:overflowPunct/>
              <w:autoSpaceDE/>
              <w:autoSpaceDN/>
              <w:adjustRightInd/>
              <w:jc w:val="right"/>
              <w:textAlignment w:val="auto"/>
              <w:rPr>
                <w:sz w:val="20"/>
                <w:szCs w:val="18"/>
              </w:rPr>
            </w:pPr>
            <w:r w:rsidRPr="00E540E7">
              <w:rPr>
                <w:sz w:val="20"/>
                <w:szCs w:val="18"/>
              </w:rPr>
              <w:t>22,3</w:t>
            </w:r>
          </w:p>
        </w:tc>
        <w:tc>
          <w:tcPr>
            <w:tcW w:w="931" w:type="dxa"/>
          </w:tcPr>
          <w:p w14:paraId="200EEC9E" w14:textId="64088B34" w:rsidR="004D41A6" w:rsidRPr="002964D2" w:rsidRDefault="004D41A6" w:rsidP="004D41A6">
            <w:pPr>
              <w:overflowPunct/>
              <w:autoSpaceDE/>
              <w:autoSpaceDN/>
              <w:adjustRightInd/>
              <w:jc w:val="right"/>
              <w:textAlignment w:val="auto"/>
              <w:rPr>
                <w:sz w:val="20"/>
                <w:szCs w:val="18"/>
              </w:rPr>
            </w:pPr>
            <w:r w:rsidRPr="00E540E7">
              <w:rPr>
                <w:sz w:val="20"/>
                <w:szCs w:val="18"/>
              </w:rPr>
              <w:t>17,2</w:t>
            </w:r>
          </w:p>
        </w:tc>
        <w:tc>
          <w:tcPr>
            <w:tcW w:w="932" w:type="dxa"/>
          </w:tcPr>
          <w:p w14:paraId="779839CB" w14:textId="136DEAEA" w:rsidR="004D41A6" w:rsidRPr="002964D2" w:rsidRDefault="004D41A6" w:rsidP="004D41A6">
            <w:pPr>
              <w:overflowPunct/>
              <w:autoSpaceDE/>
              <w:autoSpaceDN/>
              <w:adjustRightInd/>
              <w:jc w:val="right"/>
              <w:textAlignment w:val="auto"/>
              <w:rPr>
                <w:sz w:val="20"/>
                <w:szCs w:val="18"/>
              </w:rPr>
            </w:pPr>
            <w:r w:rsidRPr="00E540E7">
              <w:rPr>
                <w:sz w:val="20"/>
                <w:szCs w:val="18"/>
              </w:rPr>
              <w:t>17,2</w:t>
            </w:r>
          </w:p>
        </w:tc>
        <w:tc>
          <w:tcPr>
            <w:tcW w:w="931" w:type="dxa"/>
          </w:tcPr>
          <w:p w14:paraId="25EE1D21" w14:textId="11947E38" w:rsidR="004D41A6" w:rsidRPr="002964D2" w:rsidRDefault="004D41A6" w:rsidP="004D41A6">
            <w:pPr>
              <w:overflowPunct/>
              <w:autoSpaceDE/>
              <w:autoSpaceDN/>
              <w:adjustRightInd/>
              <w:jc w:val="right"/>
              <w:textAlignment w:val="auto"/>
              <w:rPr>
                <w:sz w:val="20"/>
                <w:szCs w:val="18"/>
              </w:rPr>
            </w:pPr>
            <w:r w:rsidRPr="00E540E7">
              <w:rPr>
                <w:sz w:val="20"/>
                <w:szCs w:val="18"/>
              </w:rPr>
              <w:t>17,2</w:t>
            </w:r>
          </w:p>
        </w:tc>
        <w:tc>
          <w:tcPr>
            <w:tcW w:w="932" w:type="dxa"/>
          </w:tcPr>
          <w:p w14:paraId="3AE0428C" w14:textId="05917F4F" w:rsidR="004D41A6" w:rsidRPr="002964D2" w:rsidRDefault="004D41A6" w:rsidP="004D41A6">
            <w:pPr>
              <w:overflowPunct/>
              <w:autoSpaceDE/>
              <w:autoSpaceDN/>
              <w:adjustRightInd/>
              <w:jc w:val="right"/>
              <w:textAlignment w:val="auto"/>
              <w:rPr>
                <w:sz w:val="20"/>
                <w:szCs w:val="18"/>
              </w:rPr>
            </w:pPr>
            <w:r w:rsidRPr="00E540E7">
              <w:rPr>
                <w:sz w:val="20"/>
                <w:szCs w:val="18"/>
              </w:rPr>
              <w:t>17,2</w:t>
            </w:r>
          </w:p>
        </w:tc>
      </w:tr>
      <w:tr w:rsidR="004D41A6" w:rsidRPr="002964D2" w14:paraId="56050D2D" w14:textId="77777777" w:rsidTr="00A732EC">
        <w:trPr>
          <w:trHeight w:val="60"/>
        </w:trPr>
        <w:tc>
          <w:tcPr>
            <w:tcW w:w="3114" w:type="dxa"/>
            <w:vAlign w:val="center"/>
          </w:tcPr>
          <w:p w14:paraId="01A6BE02" w14:textId="77777777" w:rsidR="004D41A6" w:rsidRPr="00985ACB" w:rsidRDefault="004D41A6" w:rsidP="004D41A6">
            <w:pPr>
              <w:overflowPunct/>
              <w:autoSpaceDE/>
              <w:autoSpaceDN/>
              <w:adjustRightInd/>
              <w:textAlignment w:val="auto"/>
              <w:rPr>
                <w:bCs/>
                <w:sz w:val="20"/>
              </w:rPr>
            </w:pPr>
            <w:r w:rsidRPr="00985ACB">
              <w:rPr>
                <w:bCs/>
                <w:sz w:val="20"/>
              </w:rPr>
              <w:t>Siirtomääräkanta (31.12.)</w:t>
            </w:r>
          </w:p>
        </w:tc>
        <w:tc>
          <w:tcPr>
            <w:tcW w:w="931" w:type="dxa"/>
            <w:vAlign w:val="center"/>
          </w:tcPr>
          <w:p w14:paraId="74D41243" w14:textId="20853F86" w:rsidR="004D41A6" w:rsidRPr="002964D2" w:rsidRDefault="004D41A6" w:rsidP="004D41A6">
            <w:pPr>
              <w:overflowPunct/>
              <w:autoSpaceDE/>
              <w:autoSpaceDN/>
              <w:adjustRightInd/>
              <w:jc w:val="right"/>
              <w:textAlignment w:val="auto"/>
              <w:rPr>
                <w:sz w:val="20"/>
                <w:szCs w:val="18"/>
              </w:rPr>
            </w:pPr>
            <w:r w:rsidRPr="002964D2">
              <w:rPr>
                <w:sz w:val="20"/>
                <w:szCs w:val="18"/>
              </w:rPr>
              <w:t>4,8</w:t>
            </w:r>
          </w:p>
        </w:tc>
        <w:tc>
          <w:tcPr>
            <w:tcW w:w="931" w:type="dxa"/>
          </w:tcPr>
          <w:p w14:paraId="06CD95BF" w14:textId="40B54233" w:rsidR="004D41A6" w:rsidRPr="002964D2" w:rsidRDefault="004D41A6" w:rsidP="004D41A6">
            <w:pPr>
              <w:overflowPunct/>
              <w:autoSpaceDE/>
              <w:autoSpaceDN/>
              <w:adjustRightInd/>
              <w:jc w:val="right"/>
              <w:textAlignment w:val="auto"/>
              <w:rPr>
                <w:sz w:val="20"/>
                <w:szCs w:val="18"/>
              </w:rPr>
            </w:pPr>
            <w:r w:rsidRPr="00E540E7">
              <w:rPr>
                <w:sz w:val="20"/>
                <w:szCs w:val="18"/>
              </w:rPr>
              <w:t>4,7</w:t>
            </w:r>
          </w:p>
        </w:tc>
        <w:tc>
          <w:tcPr>
            <w:tcW w:w="932" w:type="dxa"/>
          </w:tcPr>
          <w:p w14:paraId="17F673B7" w14:textId="5806D9F1" w:rsidR="004D41A6" w:rsidRPr="002964D2" w:rsidRDefault="004D41A6" w:rsidP="004D41A6">
            <w:pPr>
              <w:overflowPunct/>
              <w:autoSpaceDE/>
              <w:autoSpaceDN/>
              <w:adjustRightInd/>
              <w:jc w:val="right"/>
              <w:textAlignment w:val="auto"/>
              <w:rPr>
                <w:sz w:val="20"/>
                <w:szCs w:val="18"/>
              </w:rPr>
            </w:pPr>
            <w:r w:rsidRPr="00E540E7">
              <w:rPr>
                <w:sz w:val="20"/>
                <w:szCs w:val="18"/>
              </w:rPr>
              <w:t>7,2</w:t>
            </w:r>
          </w:p>
        </w:tc>
        <w:tc>
          <w:tcPr>
            <w:tcW w:w="931" w:type="dxa"/>
          </w:tcPr>
          <w:p w14:paraId="64C1F737" w14:textId="5718BC7A" w:rsidR="004D41A6" w:rsidRPr="002964D2" w:rsidRDefault="004D41A6" w:rsidP="004D41A6">
            <w:pPr>
              <w:overflowPunct/>
              <w:autoSpaceDE/>
              <w:autoSpaceDN/>
              <w:adjustRightInd/>
              <w:jc w:val="right"/>
              <w:textAlignment w:val="auto"/>
              <w:rPr>
                <w:sz w:val="20"/>
                <w:szCs w:val="18"/>
              </w:rPr>
            </w:pPr>
            <w:r w:rsidRPr="00E540E7">
              <w:rPr>
                <w:sz w:val="20"/>
                <w:szCs w:val="18"/>
              </w:rPr>
              <w:t>3,8</w:t>
            </w:r>
          </w:p>
        </w:tc>
        <w:tc>
          <w:tcPr>
            <w:tcW w:w="932" w:type="dxa"/>
          </w:tcPr>
          <w:p w14:paraId="0035DA9E" w14:textId="7EA8A0EC" w:rsidR="004D41A6" w:rsidRPr="002964D2" w:rsidRDefault="004D41A6" w:rsidP="004D41A6">
            <w:pPr>
              <w:overflowPunct/>
              <w:autoSpaceDE/>
              <w:autoSpaceDN/>
              <w:adjustRightInd/>
              <w:jc w:val="right"/>
              <w:textAlignment w:val="auto"/>
              <w:rPr>
                <w:sz w:val="20"/>
                <w:szCs w:val="18"/>
              </w:rPr>
            </w:pPr>
            <w:r w:rsidRPr="00E540E7">
              <w:rPr>
                <w:sz w:val="20"/>
                <w:szCs w:val="18"/>
              </w:rPr>
              <w:t>1,7</w:t>
            </w:r>
          </w:p>
        </w:tc>
        <w:tc>
          <w:tcPr>
            <w:tcW w:w="931" w:type="dxa"/>
          </w:tcPr>
          <w:p w14:paraId="2D108683" w14:textId="7BED9CB9" w:rsidR="004D41A6" w:rsidRPr="002964D2" w:rsidRDefault="004D41A6" w:rsidP="004D41A6">
            <w:pPr>
              <w:overflowPunct/>
              <w:autoSpaceDE/>
              <w:autoSpaceDN/>
              <w:adjustRightInd/>
              <w:jc w:val="right"/>
              <w:textAlignment w:val="auto"/>
              <w:rPr>
                <w:sz w:val="20"/>
                <w:szCs w:val="18"/>
              </w:rPr>
            </w:pPr>
            <w:r w:rsidRPr="00E540E7">
              <w:rPr>
                <w:sz w:val="20"/>
                <w:szCs w:val="18"/>
              </w:rPr>
              <w:t>1,7</w:t>
            </w:r>
          </w:p>
        </w:tc>
        <w:tc>
          <w:tcPr>
            <w:tcW w:w="932" w:type="dxa"/>
          </w:tcPr>
          <w:p w14:paraId="6E052262" w14:textId="1F86FC96" w:rsidR="004D41A6" w:rsidRPr="002964D2" w:rsidRDefault="004D41A6" w:rsidP="004D41A6">
            <w:pPr>
              <w:overflowPunct/>
              <w:autoSpaceDE/>
              <w:autoSpaceDN/>
              <w:adjustRightInd/>
              <w:jc w:val="right"/>
              <w:textAlignment w:val="auto"/>
              <w:rPr>
                <w:sz w:val="20"/>
                <w:szCs w:val="18"/>
              </w:rPr>
            </w:pPr>
            <w:r w:rsidRPr="00E540E7">
              <w:rPr>
                <w:sz w:val="20"/>
                <w:szCs w:val="18"/>
              </w:rPr>
              <w:t>1,7</w:t>
            </w:r>
          </w:p>
        </w:tc>
      </w:tr>
      <w:tr w:rsidR="004D41A6" w:rsidRPr="002964D2" w14:paraId="21AFAFDC" w14:textId="77777777" w:rsidTr="00A732EC">
        <w:trPr>
          <w:trHeight w:val="244"/>
        </w:trPr>
        <w:tc>
          <w:tcPr>
            <w:tcW w:w="3114" w:type="dxa"/>
            <w:vAlign w:val="center"/>
          </w:tcPr>
          <w:p w14:paraId="1AD74FB1" w14:textId="77777777" w:rsidR="004D41A6" w:rsidRPr="00985ACB" w:rsidRDefault="004D41A6" w:rsidP="004D41A6">
            <w:pPr>
              <w:overflowPunct/>
              <w:autoSpaceDE/>
              <w:autoSpaceDN/>
              <w:adjustRightInd/>
              <w:textAlignment w:val="auto"/>
              <w:rPr>
                <w:bCs/>
                <w:sz w:val="20"/>
              </w:rPr>
            </w:pPr>
            <w:r w:rsidRPr="00985ACB">
              <w:rPr>
                <w:bCs/>
                <w:sz w:val="20"/>
              </w:rPr>
              <w:t>Henkilötyömäärätarve (Htv)</w:t>
            </w:r>
          </w:p>
        </w:tc>
        <w:tc>
          <w:tcPr>
            <w:tcW w:w="931" w:type="dxa"/>
            <w:vAlign w:val="center"/>
          </w:tcPr>
          <w:p w14:paraId="5118F2B2" w14:textId="1C675400" w:rsidR="004D41A6" w:rsidRPr="002964D2" w:rsidRDefault="004D41A6" w:rsidP="004D41A6">
            <w:pPr>
              <w:overflowPunct/>
              <w:autoSpaceDE/>
              <w:autoSpaceDN/>
              <w:adjustRightInd/>
              <w:jc w:val="right"/>
              <w:textAlignment w:val="auto"/>
              <w:rPr>
                <w:sz w:val="20"/>
                <w:szCs w:val="18"/>
              </w:rPr>
            </w:pPr>
            <w:r w:rsidRPr="002964D2">
              <w:rPr>
                <w:sz w:val="20"/>
                <w:szCs w:val="18"/>
              </w:rPr>
              <w:t xml:space="preserve">66 </w:t>
            </w:r>
          </w:p>
        </w:tc>
        <w:tc>
          <w:tcPr>
            <w:tcW w:w="931" w:type="dxa"/>
          </w:tcPr>
          <w:p w14:paraId="452375C0" w14:textId="1752C861"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68 </w:t>
            </w:r>
          </w:p>
        </w:tc>
        <w:tc>
          <w:tcPr>
            <w:tcW w:w="932" w:type="dxa"/>
          </w:tcPr>
          <w:p w14:paraId="7C690D7B" w14:textId="2431B6F0"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82 </w:t>
            </w:r>
          </w:p>
        </w:tc>
        <w:tc>
          <w:tcPr>
            <w:tcW w:w="931" w:type="dxa"/>
          </w:tcPr>
          <w:p w14:paraId="65371381" w14:textId="22FF13AD"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82 </w:t>
            </w:r>
          </w:p>
        </w:tc>
        <w:tc>
          <w:tcPr>
            <w:tcW w:w="932" w:type="dxa"/>
          </w:tcPr>
          <w:p w14:paraId="0CF42464" w14:textId="2C596AE3"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82 </w:t>
            </w:r>
          </w:p>
        </w:tc>
        <w:tc>
          <w:tcPr>
            <w:tcW w:w="931" w:type="dxa"/>
          </w:tcPr>
          <w:p w14:paraId="0D24D2B8" w14:textId="57F46B43"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82 </w:t>
            </w:r>
          </w:p>
        </w:tc>
        <w:tc>
          <w:tcPr>
            <w:tcW w:w="932" w:type="dxa"/>
          </w:tcPr>
          <w:p w14:paraId="58B48DC5" w14:textId="309EFC50"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82 </w:t>
            </w:r>
          </w:p>
        </w:tc>
      </w:tr>
      <w:tr w:rsidR="004D41A6" w:rsidRPr="002964D2" w14:paraId="7C1E4379" w14:textId="77777777" w:rsidTr="00A732EC">
        <w:tc>
          <w:tcPr>
            <w:tcW w:w="3114" w:type="dxa"/>
            <w:vAlign w:val="center"/>
          </w:tcPr>
          <w:p w14:paraId="6BFA56F9" w14:textId="77777777" w:rsidR="004D41A6" w:rsidRPr="00985ACB" w:rsidRDefault="004D41A6" w:rsidP="004D41A6">
            <w:pPr>
              <w:overflowPunct/>
              <w:autoSpaceDE/>
              <w:autoSpaceDN/>
              <w:adjustRightInd/>
              <w:textAlignment w:val="auto"/>
              <w:rPr>
                <w:bCs/>
                <w:sz w:val="20"/>
                <w:vertAlign w:val="superscript"/>
              </w:rPr>
            </w:pPr>
            <w:r w:rsidRPr="00985ACB">
              <w:rPr>
                <w:bCs/>
                <w:sz w:val="20"/>
              </w:rPr>
              <w:t>VM TUSO-HTV-tavoite (Htv)</w:t>
            </w:r>
            <w:r w:rsidRPr="00985ACB">
              <w:rPr>
                <w:bCs/>
                <w:sz w:val="20"/>
                <w:vertAlign w:val="superscript"/>
              </w:rPr>
              <w:t>(2</w:t>
            </w:r>
          </w:p>
        </w:tc>
        <w:tc>
          <w:tcPr>
            <w:tcW w:w="931" w:type="dxa"/>
            <w:vAlign w:val="center"/>
          </w:tcPr>
          <w:p w14:paraId="7DE7764E" w14:textId="32BF5644" w:rsidR="004D41A6" w:rsidRPr="002964D2" w:rsidRDefault="004D41A6" w:rsidP="004D41A6">
            <w:pPr>
              <w:overflowPunct/>
              <w:autoSpaceDE/>
              <w:autoSpaceDN/>
              <w:adjustRightInd/>
              <w:jc w:val="right"/>
              <w:textAlignment w:val="auto"/>
              <w:rPr>
                <w:sz w:val="20"/>
                <w:szCs w:val="18"/>
              </w:rPr>
            </w:pPr>
            <w:r w:rsidRPr="002964D2">
              <w:rPr>
                <w:sz w:val="20"/>
                <w:szCs w:val="18"/>
              </w:rPr>
              <w:t xml:space="preserve">54 </w:t>
            </w:r>
          </w:p>
        </w:tc>
        <w:tc>
          <w:tcPr>
            <w:tcW w:w="931" w:type="dxa"/>
          </w:tcPr>
          <w:p w14:paraId="33B28540" w14:textId="1FEBEE3E"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63 </w:t>
            </w:r>
          </w:p>
        </w:tc>
        <w:tc>
          <w:tcPr>
            <w:tcW w:w="932" w:type="dxa"/>
          </w:tcPr>
          <w:p w14:paraId="62AEA5EA" w14:textId="0A554BC6"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69 </w:t>
            </w:r>
          </w:p>
        </w:tc>
        <w:tc>
          <w:tcPr>
            <w:tcW w:w="931" w:type="dxa"/>
          </w:tcPr>
          <w:p w14:paraId="611FEEA7" w14:textId="4F00014C"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69 </w:t>
            </w:r>
          </w:p>
        </w:tc>
        <w:tc>
          <w:tcPr>
            <w:tcW w:w="932" w:type="dxa"/>
          </w:tcPr>
          <w:p w14:paraId="2113650C" w14:textId="521706B1"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69 </w:t>
            </w:r>
          </w:p>
        </w:tc>
        <w:tc>
          <w:tcPr>
            <w:tcW w:w="931" w:type="dxa"/>
          </w:tcPr>
          <w:p w14:paraId="001831D0" w14:textId="3E278C7E"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69 </w:t>
            </w:r>
          </w:p>
        </w:tc>
        <w:tc>
          <w:tcPr>
            <w:tcW w:w="932" w:type="dxa"/>
          </w:tcPr>
          <w:p w14:paraId="3B3BB1BC" w14:textId="1D88C2B6" w:rsidR="004D41A6" w:rsidRPr="002964D2" w:rsidRDefault="004D41A6" w:rsidP="004D41A6">
            <w:pPr>
              <w:overflowPunct/>
              <w:autoSpaceDE/>
              <w:autoSpaceDN/>
              <w:adjustRightInd/>
              <w:jc w:val="right"/>
              <w:textAlignment w:val="auto"/>
              <w:rPr>
                <w:sz w:val="20"/>
                <w:szCs w:val="18"/>
              </w:rPr>
            </w:pPr>
            <w:r w:rsidRPr="00E540E7">
              <w:rPr>
                <w:sz w:val="20"/>
                <w:szCs w:val="18"/>
              </w:rPr>
              <w:t xml:space="preserve">69 </w:t>
            </w:r>
          </w:p>
        </w:tc>
      </w:tr>
    </w:tbl>
    <w:p w14:paraId="798071A1" w14:textId="77777777" w:rsidR="0051400C" w:rsidRDefault="002964D2" w:rsidP="00EF7060">
      <w:pPr>
        <w:numPr>
          <w:ilvl w:val="0"/>
          <w:numId w:val="24"/>
        </w:numPr>
        <w:overflowPunct/>
        <w:autoSpaceDE/>
        <w:autoSpaceDN/>
        <w:adjustRightInd/>
        <w:textAlignment w:val="auto"/>
        <w:rPr>
          <w:i/>
          <w:iCs/>
          <w:sz w:val="18"/>
        </w:rPr>
      </w:pPr>
      <w:r w:rsidRPr="0051400C">
        <w:rPr>
          <w:i/>
          <w:iCs/>
          <w:sz w:val="18"/>
        </w:rPr>
        <w:t xml:space="preserve">Tulorekisteritoiminnan konsernin sisäinen kehysraami perustuu JTS 2023-2026 päätökseen </w:t>
      </w:r>
    </w:p>
    <w:p w14:paraId="5DB05FBE" w14:textId="1D738363" w:rsidR="002964D2" w:rsidRPr="0051400C" w:rsidRDefault="002964D2" w:rsidP="00EF7060">
      <w:pPr>
        <w:numPr>
          <w:ilvl w:val="0"/>
          <w:numId w:val="24"/>
        </w:numPr>
        <w:overflowPunct/>
        <w:autoSpaceDE/>
        <w:autoSpaceDN/>
        <w:adjustRightInd/>
        <w:textAlignment w:val="auto"/>
        <w:rPr>
          <w:i/>
          <w:iCs/>
          <w:sz w:val="18"/>
        </w:rPr>
      </w:pPr>
      <w:r w:rsidRPr="0051400C">
        <w:rPr>
          <w:i/>
          <w:iCs/>
          <w:sz w:val="18"/>
        </w:rPr>
        <w:t>TUSO-HTV-tavoit</w:t>
      </w:r>
      <w:r w:rsidR="007D1C84">
        <w:rPr>
          <w:i/>
          <w:iCs/>
          <w:sz w:val="18"/>
        </w:rPr>
        <w:t>etta</w:t>
      </w:r>
      <w:r w:rsidRPr="0051400C">
        <w:rPr>
          <w:i/>
          <w:iCs/>
          <w:sz w:val="18"/>
        </w:rPr>
        <w:t xml:space="preserve"> alenta</w:t>
      </w:r>
      <w:r w:rsidR="007D1C84">
        <w:rPr>
          <w:i/>
          <w:iCs/>
          <w:sz w:val="18"/>
        </w:rPr>
        <w:t>a</w:t>
      </w:r>
      <w:r w:rsidRPr="0051400C">
        <w:rPr>
          <w:i/>
          <w:iCs/>
          <w:sz w:val="18"/>
        </w:rPr>
        <w:t xml:space="preserve"> Tulorekisteriyksikön henkilötyön ostot Verohallinnon muista yksiköistä ostopalveluna</w:t>
      </w:r>
    </w:p>
    <w:p w14:paraId="5255E0E0" w14:textId="5C2B119D" w:rsidR="002964D2" w:rsidRDefault="002964D2" w:rsidP="002964D2">
      <w:pPr>
        <w:numPr>
          <w:ilvl w:val="0"/>
          <w:numId w:val="24"/>
        </w:numPr>
        <w:overflowPunct/>
        <w:autoSpaceDE/>
        <w:autoSpaceDN/>
        <w:adjustRightInd/>
        <w:textAlignment w:val="auto"/>
        <w:rPr>
          <w:i/>
          <w:iCs/>
          <w:color w:val="000000" w:themeColor="text1"/>
          <w:sz w:val="18"/>
        </w:rPr>
      </w:pPr>
      <w:r w:rsidRPr="002964D2">
        <w:rPr>
          <w:i/>
          <w:iCs/>
          <w:color w:val="000000" w:themeColor="text1"/>
          <w:sz w:val="18"/>
        </w:rPr>
        <w:t>Määrärahassa on huomioitu erillisrahoitushankkeista</w:t>
      </w:r>
      <w:r w:rsidR="000F0238">
        <w:rPr>
          <w:i/>
          <w:iCs/>
          <w:color w:val="000000" w:themeColor="text1"/>
          <w:sz w:val="18"/>
        </w:rPr>
        <w:t xml:space="preserve"> </w:t>
      </w:r>
      <w:r w:rsidRPr="002964D2">
        <w:rPr>
          <w:i/>
          <w:iCs/>
          <w:color w:val="000000" w:themeColor="text1"/>
          <w:sz w:val="18"/>
        </w:rPr>
        <w:t>sähköisen identiteetinhallinnan muutokset tulorekisteriin ja tulorekisterin käyttövarmuuden turvaaminen.</w:t>
      </w:r>
    </w:p>
    <w:p w14:paraId="48BE0DB4" w14:textId="77777777" w:rsidR="00B52016" w:rsidRPr="00B52016" w:rsidRDefault="00B52016" w:rsidP="00B52016">
      <w:pPr>
        <w:overflowPunct/>
        <w:autoSpaceDE/>
        <w:autoSpaceDN/>
        <w:adjustRightInd/>
        <w:textAlignment w:val="auto"/>
        <w:rPr>
          <w:color w:val="000000" w:themeColor="text1"/>
          <w:sz w:val="18"/>
        </w:rPr>
      </w:pPr>
    </w:p>
    <w:p w14:paraId="11EF7E5E" w14:textId="1788EF7A" w:rsidR="002964D2" w:rsidRPr="002964D2" w:rsidRDefault="002964D2" w:rsidP="00985ACB">
      <w:pPr>
        <w:pStyle w:val="Otsikko3"/>
      </w:pPr>
      <w:bookmarkStart w:id="20" w:name="_Toc116560498"/>
      <w:r w:rsidRPr="002964D2">
        <w:t>Yhteenveto positiivisen luottotietorekisterin investointihankkeesta</w:t>
      </w:r>
      <w:bookmarkEnd w:id="20"/>
    </w:p>
    <w:p w14:paraId="3B6A2B5C" w14:textId="06AA7377" w:rsidR="003E60D5" w:rsidRDefault="002964D2" w:rsidP="002964D2">
      <w:pPr>
        <w:overflowPunct/>
        <w:autoSpaceDE/>
        <w:autoSpaceDN/>
        <w:adjustRightInd/>
        <w:textAlignment w:val="auto"/>
        <w:rPr>
          <w:color w:val="000000" w:themeColor="text1"/>
        </w:rPr>
      </w:pPr>
      <w:r w:rsidRPr="002964D2">
        <w:rPr>
          <w:color w:val="000000" w:themeColor="text1"/>
        </w:rPr>
        <w:t>Tulorekisteriyksikkö o</w:t>
      </w:r>
      <w:r w:rsidR="00132205">
        <w:rPr>
          <w:color w:val="000000" w:themeColor="text1"/>
        </w:rPr>
        <w:t>n</w:t>
      </w:r>
      <w:r w:rsidRPr="002964D2">
        <w:rPr>
          <w:color w:val="000000" w:themeColor="text1"/>
        </w:rPr>
        <w:t xml:space="preserve"> uuden perustettavan positiivisen luottotietorekisterin rekisterinpitäjä. Tehtävä on uusi perustehtävä Verohallinnolle. Rekisterin perustamis</w:t>
      </w:r>
      <w:r w:rsidR="00640B6E">
        <w:rPr>
          <w:color w:val="000000" w:themeColor="text1"/>
        </w:rPr>
        <w:t>en liittyvä investointi</w:t>
      </w:r>
      <w:r w:rsidRPr="002964D2">
        <w:rPr>
          <w:color w:val="000000" w:themeColor="text1"/>
        </w:rPr>
        <w:t>hanke sisältää seuraavat vaiheet:</w:t>
      </w:r>
    </w:p>
    <w:p w14:paraId="3CA5B0B2" w14:textId="3E361255" w:rsidR="002964D2" w:rsidRDefault="002964D2" w:rsidP="002964D2">
      <w:pPr>
        <w:overflowPunct/>
        <w:autoSpaceDE/>
        <w:autoSpaceDN/>
        <w:adjustRightInd/>
        <w:textAlignment w:val="auto"/>
        <w:rPr>
          <w:color w:val="000000" w:themeColor="text1"/>
        </w:rPr>
      </w:pPr>
      <w:r w:rsidRPr="002964D2">
        <w:rPr>
          <w:color w:val="000000" w:themeColor="text1"/>
        </w:rPr>
        <w:t xml:space="preserve"> </w:t>
      </w:r>
    </w:p>
    <w:p w14:paraId="3B786379" w14:textId="447502E1" w:rsidR="002964D2" w:rsidRPr="009A5298" w:rsidRDefault="002964D2" w:rsidP="009A5298">
      <w:pPr>
        <w:pStyle w:val="Luettelokappale"/>
        <w:numPr>
          <w:ilvl w:val="0"/>
          <w:numId w:val="38"/>
        </w:numPr>
        <w:jc w:val="left"/>
        <w:rPr>
          <w:color w:val="000000" w:themeColor="text1"/>
        </w:rPr>
      </w:pPr>
      <w:r w:rsidRPr="009A5298">
        <w:rPr>
          <w:color w:val="000000" w:themeColor="text1"/>
        </w:rPr>
        <w:t xml:space="preserve">hankinnan valmisteluvaihe vuosina </w:t>
      </w:r>
      <w:r w:rsidR="001C55E7" w:rsidRPr="009A5298">
        <w:rPr>
          <w:color w:val="000000" w:themeColor="text1"/>
        </w:rPr>
        <w:t>2020–2021</w:t>
      </w:r>
      <w:r w:rsidRPr="009A5298">
        <w:rPr>
          <w:color w:val="000000" w:themeColor="text1"/>
        </w:rPr>
        <w:t xml:space="preserve"> ja</w:t>
      </w:r>
    </w:p>
    <w:p w14:paraId="148CE563" w14:textId="04178803" w:rsidR="002964D2" w:rsidRPr="009A5298" w:rsidRDefault="002964D2" w:rsidP="009A5298">
      <w:pPr>
        <w:pStyle w:val="Luettelokappale"/>
        <w:numPr>
          <w:ilvl w:val="0"/>
          <w:numId w:val="38"/>
        </w:numPr>
        <w:jc w:val="left"/>
        <w:rPr>
          <w:color w:val="000000" w:themeColor="text1"/>
        </w:rPr>
      </w:pPr>
      <w:r w:rsidRPr="009A5298">
        <w:rPr>
          <w:color w:val="000000" w:themeColor="text1"/>
        </w:rPr>
        <w:t xml:space="preserve">toteuttaminen ja käyttöönotto (sisältäen tuotannon valmistelut) vuosina </w:t>
      </w:r>
      <w:r w:rsidR="001C55E7" w:rsidRPr="009A5298">
        <w:rPr>
          <w:color w:val="000000" w:themeColor="text1"/>
        </w:rPr>
        <w:t>2021–2026</w:t>
      </w:r>
    </w:p>
    <w:p w14:paraId="7C48C4ED" w14:textId="77777777" w:rsidR="002964D2" w:rsidRPr="002964D2" w:rsidRDefault="002964D2" w:rsidP="002964D2">
      <w:pPr>
        <w:rPr>
          <w:color w:val="000000" w:themeColor="text1"/>
        </w:rPr>
      </w:pPr>
    </w:p>
    <w:p w14:paraId="3CFF16B2" w14:textId="7A666212" w:rsidR="008054AF" w:rsidRPr="00640B6E" w:rsidRDefault="008054AF" w:rsidP="008054AF">
      <w:pPr>
        <w:overflowPunct/>
        <w:autoSpaceDE/>
        <w:autoSpaceDN/>
        <w:adjustRightInd/>
        <w:textAlignment w:val="auto"/>
        <w:rPr>
          <w:bCs/>
          <w:color w:val="000000" w:themeColor="text1"/>
          <w:sz w:val="20"/>
        </w:rPr>
      </w:pPr>
      <w:r w:rsidRPr="00640B6E">
        <w:rPr>
          <w:b/>
          <w:color w:val="000000" w:themeColor="text1"/>
          <w:sz w:val="20"/>
        </w:rPr>
        <w:t xml:space="preserve">Taulukko 5. Positiivisen luottotietorekisterin perustamishankkeen käyttösuunnitelma </w:t>
      </w:r>
      <w:r w:rsidRPr="00640B6E">
        <w:rPr>
          <w:bCs/>
          <w:color w:val="000000" w:themeColor="text1"/>
          <w:sz w:val="20"/>
        </w:rPr>
        <w:t>(til</w:t>
      </w:r>
      <w:r w:rsidR="00DA4AEA" w:rsidRPr="00640B6E">
        <w:rPr>
          <w:bCs/>
          <w:color w:val="000000" w:themeColor="text1"/>
          <w:sz w:val="20"/>
        </w:rPr>
        <w:t>anne</w:t>
      </w:r>
      <w:r w:rsidRPr="00640B6E">
        <w:rPr>
          <w:bCs/>
          <w:color w:val="000000" w:themeColor="text1"/>
          <w:sz w:val="20"/>
        </w:rPr>
        <w:t xml:space="preserve"> 4.10.</w:t>
      </w:r>
      <w:r w:rsidR="00640B6E">
        <w:rPr>
          <w:bCs/>
          <w:color w:val="000000" w:themeColor="text1"/>
          <w:sz w:val="20"/>
        </w:rPr>
        <w:t>2022</w:t>
      </w:r>
      <w:r w:rsidRPr="00640B6E">
        <w:rPr>
          <w:bCs/>
          <w:color w:val="000000" w:themeColor="text1"/>
          <w:sz w:val="20"/>
        </w:rPr>
        <w:t>)</w:t>
      </w:r>
    </w:p>
    <w:p w14:paraId="45C556C2" w14:textId="77777777" w:rsidR="00E610D0" w:rsidRDefault="00E610D0" w:rsidP="002749A6">
      <w:pPr>
        <w:spacing w:line="200" w:lineRule="exact"/>
        <w:rPr>
          <w:color w:val="000000" w:themeColor="text1"/>
        </w:rPr>
      </w:pPr>
    </w:p>
    <w:tbl>
      <w:tblPr>
        <w:tblStyle w:val="TaulukkoRuudukko1"/>
        <w:tblW w:w="9776" w:type="dxa"/>
        <w:tblLayout w:type="fixed"/>
        <w:tblLook w:val="04A0" w:firstRow="1" w:lastRow="0" w:firstColumn="1" w:lastColumn="0" w:noHBand="0" w:noVBand="1"/>
      </w:tblPr>
      <w:tblGrid>
        <w:gridCol w:w="3397"/>
        <w:gridCol w:w="851"/>
        <w:gridCol w:w="850"/>
        <w:gridCol w:w="993"/>
        <w:gridCol w:w="992"/>
        <w:gridCol w:w="850"/>
        <w:gridCol w:w="851"/>
        <w:gridCol w:w="992"/>
      </w:tblGrid>
      <w:tr w:rsidR="002964D2" w:rsidRPr="002964D2" w14:paraId="75EFAE6C" w14:textId="77777777" w:rsidTr="004D5BF0">
        <w:trPr>
          <w:trHeight w:val="263"/>
          <w:tblHeader/>
        </w:trPr>
        <w:tc>
          <w:tcPr>
            <w:tcW w:w="3397" w:type="dxa"/>
            <w:shd w:val="clear" w:color="auto" w:fill="E5EFE5" w:themeFill="background2"/>
          </w:tcPr>
          <w:p w14:paraId="75DA9764" w14:textId="77777777" w:rsidR="002964D2" w:rsidRPr="002964D2" w:rsidRDefault="002964D2" w:rsidP="002964D2">
            <w:pPr>
              <w:overflowPunct/>
              <w:autoSpaceDE/>
              <w:autoSpaceDN/>
              <w:adjustRightInd/>
              <w:textAlignment w:val="auto"/>
              <w:rPr>
                <w:b/>
                <w:sz w:val="20"/>
              </w:rPr>
            </w:pPr>
            <w:r w:rsidRPr="002964D2">
              <w:rPr>
                <w:b/>
                <w:sz w:val="20"/>
              </w:rPr>
              <w:t>Mom. 28.10.03</w:t>
            </w:r>
          </w:p>
          <w:p w14:paraId="5DEEC2EC" w14:textId="77777777" w:rsidR="002964D2" w:rsidRPr="002964D2" w:rsidRDefault="002964D2" w:rsidP="002964D2">
            <w:pPr>
              <w:overflowPunct/>
              <w:autoSpaceDE/>
              <w:autoSpaceDN/>
              <w:adjustRightInd/>
              <w:textAlignment w:val="auto"/>
              <w:rPr>
                <w:b/>
                <w:sz w:val="20"/>
              </w:rPr>
            </w:pPr>
            <w:r w:rsidRPr="002964D2">
              <w:rPr>
                <w:b/>
                <w:sz w:val="20"/>
              </w:rPr>
              <w:t>Positiivisen luottotietorekisterin perustaminen</w:t>
            </w:r>
          </w:p>
        </w:tc>
        <w:tc>
          <w:tcPr>
            <w:tcW w:w="851" w:type="dxa"/>
            <w:shd w:val="clear" w:color="auto" w:fill="E5EFE5" w:themeFill="background2"/>
          </w:tcPr>
          <w:p w14:paraId="2BB8D1A5" w14:textId="77777777" w:rsidR="002964D2" w:rsidRPr="002964D2" w:rsidRDefault="002964D2" w:rsidP="002964D2">
            <w:pPr>
              <w:overflowPunct/>
              <w:autoSpaceDE/>
              <w:autoSpaceDN/>
              <w:adjustRightInd/>
              <w:textAlignment w:val="auto"/>
              <w:rPr>
                <w:b/>
                <w:sz w:val="20"/>
              </w:rPr>
            </w:pPr>
            <w:r w:rsidRPr="002964D2">
              <w:rPr>
                <w:b/>
                <w:sz w:val="20"/>
              </w:rPr>
              <w:t>2021</w:t>
            </w:r>
          </w:p>
          <w:p w14:paraId="6C4F6EB8" w14:textId="77777777" w:rsidR="002964D2" w:rsidRPr="002964D2" w:rsidRDefault="002964D2" w:rsidP="002964D2">
            <w:pPr>
              <w:overflowPunct/>
              <w:autoSpaceDE/>
              <w:autoSpaceDN/>
              <w:adjustRightInd/>
              <w:textAlignment w:val="auto"/>
              <w:rPr>
                <w:b/>
                <w:sz w:val="20"/>
              </w:rPr>
            </w:pPr>
            <w:r w:rsidRPr="002964D2">
              <w:rPr>
                <w:b/>
                <w:sz w:val="20"/>
              </w:rPr>
              <w:t>Tot.</w:t>
            </w:r>
          </w:p>
        </w:tc>
        <w:tc>
          <w:tcPr>
            <w:tcW w:w="850" w:type="dxa"/>
            <w:shd w:val="clear" w:color="auto" w:fill="E5EFE5" w:themeFill="background2"/>
          </w:tcPr>
          <w:p w14:paraId="3E57897F" w14:textId="77777777" w:rsidR="002964D2" w:rsidRPr="002964D2" w:rsidRDefault="002964D2" w:rsidP="002964D2">
            <w:pPr>
              <w:overflowPunct/>
              <w:autoSpaceDE/>
              <w:autoSpaceDN/>
              <w:adjustRightInd/>
              <w:textAlignment w:val="auto"/>
              <w:rPr>
                <w:b/>
                <w:sz w:val="20"/>
              </w:rPr>
            </w:pPr>
            <w:r w:rsidRPr="002964D2">
              <w:rPr>
                <w:b/>
                <w:sz w:val="20"/>
              </w:rPr>
              <w:t>2022</w:t>
            </w:r>
          </w:p>
          <w:p w14:paraId="3F42A255" w14:textId="77777777" w:rsidR="002964D2" w:rsidRPr="002964D2" w:rsidRDefault="002964D2" w:rsidP="002964D2">
            <w:pPr>
              <w:overflowPunct/>
              <w:autoSpaceDE/>
              <w:autoSpaceDN/>
              <w:adjustRightInd/>
              <w:textAlignment w:val="auto"/>
              <w:rPr>
                <w:b/>
                <w:sz w:val="20"/>
              </w:rPr>
            </w:pPr>
            <w:r w:rsidRPr="002964D2">
              <w:rPr>
                <w:b/>
                <w:sz w:val="20"/>
              </w:rPr>
              <w:t>Arvio</w:t>
            </w:r>
          </w:p>
        </w:tc>
        <w:tc>
          <w:tcPr>
            <w:tcW w:w="993" w:type="dxa"/>
            <w:shd w:val="clear" w:color="auto" w:fill="E5EFE5" w:themeFill="background2"/>
          </w:tcPr>
          <w:p w14:paraId="7A5A5E82" w14:textId="77777777" w:rsidR="002964D2" w:rsidRPr="002964D2" w:rsidRDefault="002964D2" w:rsidP="002964D2">
            <w:pPr>
              <w:overflowPunct/>
              <w:autoSpaceDE/>
              <w:autoSpaceDN/>
              <w:adjustRightInd/>
              <w:textAlignment w:val="auto"/>
              <w:rPr>
                <w:b/>
                <w:sz w:val="20"/>
              </w:rPr>
            </w:pPr>
            <w:r w:rsidRPr="002964D2">
              <w:rPr>
                <w:b/>
                <w:sz w:val="20"/>
              </w:rPr>
              <w:t>2023</w:t>
            </w:r>
          </w:p>
          <w:p w14:paraId="77E893F0" w14:textId="77777777" w:rsidR="002964D2" w:rsidRPr="002964D2" w:rsidRDefault="002964D2" w:rsidP="002964D2">
            <w:pPr>
              <w:overflowPunct/>
              <w:autoSpaceDE/>
              <w:autoSpaceDN/>
              <w:adjustRightInd/>
              <w:textAlignment w:val="auto"/>
              <w:rPr>
                <w:b/>
                <w:sz w:val="20"/>
              </w:rPr>
            </w:pPr>
            <w:r w:rsidRPr="002964D2">
              <w:rPr>
                <w:b/>
                <w:sz w:val="20"/>
              </w:rPr>
              <w:t>TAE</w:t>
            </w:r>
          </w:p>
        </w:tc>
        <w:tc>
          <w:tcPr>
            <w:tcW w:w="992" w:type="dxa"/>
            <w:shd w:val="clear" w:color="auto" w:fill="E5EFE5" w:themeFill="background2"/>
          </w:tcPr>
          <w:p w14:paraId="308061FD" w14:textId="77777777" w:rsidR="002964D2" w:rsidRPr="002964D2" w:rsidRDefault="002964D2" w:rsidP="002964D2">
            <w:pPr>
              <w:overflowPunct/>
              <w:autoSpaceDE/>
              <w:autoSpaceDN/>
              <w:adjustRightInd/>
              <w:textAlignment w:val="auto"/>
              <w:rPr>
                <w:b/>
                <w:sz w:val="20"/>
              </w:rPr>
            </w:pPr>
            <w:r w:rsidRPr="002964D2">
              <w:rPr>
                <w:b/>
                <w:sz w:val="20"/>
              </w:rPr>
              <w:t>2024</w:t>
            </w:r>
          </w:p>
          <w:p w14:paraId="483BEDDE" w14:textId="77777777" w:rsidR="002964D2" w:rsidRPr="002964D2" w:rsidRDefault="002964D2" w:rsidP="002964D2">
            <w:pPr>
              <w:overflowPunct/>
              <w:autoSpaceDE/>
              <w:autoSpaceDN/>
              <w:adjustRightInd/>
              <w:textAlignment w:val="auto"/>
              <w:rPr>
                <w:b/>
                <w:sz w:val="20"/>
              </w:rPr>
            </w:pPr>
            <w:r w:rsidRPr="002964D2">
              <w:rPr>
                <w:b/>
                <w:sz w:val="20"/>
              </w:rPr>
              <w:t>TTS</w:t>
            </w:r>
          </w:p>
        </w:tc>
        <w:tc>
          <w:tcPr>
            <w:tcW w:w="850" w:type="dxa"/>
            <w:shd w:val="clear" w:color="auto" w:fill="E5EFE5" w:themeFill="background2"/>
          </w:tcPr>
          <w:p w14:paraId="3E213803" w14:textId="77777777" w:rsidR="002964D2" w:rsidRPr="002964D2" w:rsidRDefault="002964D2" w:rsidP="002964D2">
            <w:pPr>
              <w:overflowPunct/>
              <w:autoSpaceDE/>
              <w:autoSpaceDN/>
              <w:adjustRightInd/>
              <w:ind w:left="-526" w:firstLine="526"/>
              <w:textAlignment w:val="auto"/>
              <w:rPr>
                <w:b/>
                <w:sz w:val="20"/>
              </w:rPr>
            </w:pPr>
            <w:r w:rsidRPr="002964D2">
              <w:rPr>
                <w:b/>
                <w:sz w:val="20"/>
              </w:rPr>
              <w:t>2025</w:t>
            </w:r>
          </w:p>
          <w:p w14:paraId="1B6EA72E" w14:textId="77777777" w:rsidR="002964D2" w:rsidRPr="002964D2" w:rsidRDefault="002964D2" w:rsidP="002964D2">
            <w:pPr>
              <w:overflowPunct/>
              <w:autoSpaceDE/>
              <w:autoSpaceDN/>
              <w:adjustRightInd/>
              <w:textAlignment w:val="auto"/>
              <w:rPr>
                <w:b/>
                <w:sz w:val="20"/>
              </w:rPr>
            </w:pPr>
            <w:r w:rsidRPr="002964D2">
              <w:rPr>
                <w:b/>
                <w:sz w:val="20"/>
              </w:rPr>
              <w:t>TTS</w:t>
            </w:r>
          </w:p>
        </w:tc>
        <w:tc>
          <w:tcPr>
            <w:tcW w:w="851" w:type="dxa"/>
            <w:shd w:val="clear" w:color="auto" w:fill="E5EFE5" w:themeFill="background2"/>
          </w:tcPr>
          <w:p w14:paraId="7F104C40" w14:textId="77777777" w:rsidR="002964D2" w:rsidRPr="002964D2" w:rsidRDefault="002964D2" w:rsidP="002964D2">
            <w:pPr>
              <w:overflowPunct/>
              <w:autoSpaceDE/>
              <w:autoSpaceDN/>
              <w:adjustRightInd/>
              <w:textAlignment w:val="auto"/>
              <w:rPr>
                <w:b/>
                <w:sz w:val="20"/>
              </w:rPr>
            </w:pPr>
            <w:r w:rsidRPr="002964D2">
              <w:rPr>
                <w:b/>
                <w:sz w:val="20"/>
              </w:rPr>
              <w:t>2026</w:t>
            </w:r>
          </w:p>
          <w:p w14:paraId="2F4A2A76" w14:textId="77777777" w:rsidR="002964D2" w:rsidRPr="002964D2" w:rsidRDefault="002964D2" w:rsidP="002964D2">
            <w:pPr>
              <w:overflowPunct/>
              <w:autoSpaceDE/>
              <w:autoSpaceDN/>
              <w:adjustRightInd/>
              <w:textAlignment w:val="auto"/>
              <w:rPr>
                <w:b/>
                <w:sz w:val="20"/>
              </w:rPr>
            </w:pPr>
            <w:r w:rsidRPr="002964D2">
              <w:rPr>
                <w:b/>
                <w:sz w:val="20"/>
              </w:rPr>
              <w:t>TTS</w:t>
            </w:r>
          </w:p>
        </w:tc>
        <w:tc>
          <w:tcPr>
            <w:tcW w:w="992" w:type="dxa"/>
            <w:shd w:val="clear" w:color="auto" w:fill="E5EFE5" w:themeFill="background2"/>
          </w:tcPr>
          <w:p w14:paraId="4B4BCA68" w14:textId="77777777" w:rsidR="002964D2" w:rsidRPr="002964D2" w:rsidRDefault="002964D2" w:rsidP="002964D2">
            <w:pPr>
              <w:overflowPunct/>
              <w:autoSpaceDE/>
              <w:autoSpaceDN/>
              <w:adjustRightInd/>
              <w:textAlignment w:val="auto"/>
              <w:rPr>
                <w:b/>
                <w:sz w:val="20"/>
              </w:rPr>
            </w:pPr>
            <w:r w:rsidRPr="002964D2">
              <w:rPr>
                <w:b/>
                <w:sz w:val="20"/>
              </w:rPr>
              <w:t>2027</w:t>
            </w:r>
          </w:p>
          <w:p w14:paraId="35A0D3F2" w14:textId="77777777" w:rsidR="002964D2" w:rsidRPr="002964D2" w:rsidRDefault="002964D2" w:rsidP="002964D2">
            <w:pPr>
              <w:overflowPunct/>
              <w:autoSpaceDE/>
              <w:autoSpaceDN/>
              <w:adjustRightInd/>
              <w:textAlignment w:val="auto"/>
              <w:rPr>
                <w:b/>
                <w:sz w:val="20"/>
              </w:rPr>
            </w:pPr>
            <w:r w:rsidRPr="002964D2">
              <w:rPr>
                <w:b/>
                <w:sz w:val="20"/>
              </w:rPr>
              <w:t>TTS</w:t>
            </w:r>
          </w:p>
        </w:tc>
      </w:tr>
      <w:tr w:rsidR="004D41A6" w:rsidRPr="002964D2" w14:paraId="6132F951" w14:textId="77777777" w:rsidTr="00333946">
        <w:trPr>
          <w:trHeight w:val="319"/>
        </w:trPr>
        <w:tc>
          <w:tcPr>
            <w:tcW w:w="3397" w:type="dxa"/>
            <w:vAlign w:val="center"/>
          </w:tcPr>
          <w:p w14:paraId="07035854" w14:textId="77777777" w:rsidR="004D41A6" w:rsidRPr="00985ACB" w:rsidRDefault="004D41A6" w:rsidP="004D41A6">
            <w:pPr>
              <w:overflowPunct/>
              <w:autoSpaceDE/>
              <w:autoSpaceDN/>
              <w:adjustRightInd/>
              <w:textAlignment w:val="auto"/>
              <w:rPr>
                <w:bCs/>
                <w:sz w:val="20"/>
                <w:vertAlign w:val="superscript"/>
              </w:rPr>
            </w:pPr>
            <w:r w:rsidRPr="00985ACB">
              <w:rPr>
                <w:bCs/>
                <w:sz w:val="20"/>
              </w:rPr>
              <w:t>Nettomenot (milj. €)</w:t>
            </w:r>
            <w:r w:rsidRPr="00985ACB">
              <w:rPr>
                <w:bCs/>
                <w:sz w:val="20"/>
                <w:vertAlign w:val="superscript"/>
              </w:rPr>
              <w:t>(1</w:t>
            </w:r>
          </w:p>
        </w:tc>
        <w:tc>
          <w:tcPr>
            <w:tcW w:w="851" w:type="dxa"/>
            <w:vAlign w:val="center"/>
          </w:tcPr>
          <w:p w14:paraId="266041FE" w14:textId="12765FC9"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3,9</w:t>
            </w:r>
          </w:p>
        </w:tc>
        <w:tc>
          <w:tcPr>
            <w:tcW w:w="850" w:type="dxa"/>
            <w:vAlign w:val="center"/>
          </w:tcPr>
          <w:p w14:paraId="55D07EF2" w14:textId="182483DD"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11,8</w:t>
            </w:r>
          </w:p>
        </w:tc>
        <w:tc>
          <w:tcPr>
            <w:tcW w:w="993" w:type="dxa"/>
            <w:vAlign w:val="center"/>
          </w:tcPr>
          <w:p w14:paraId="3AA2E34E" w14:textId="712230E2"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19,6</w:t>
            </w:r>
          </w:p>
        </w:tc>
        <w:tc>
          <w:tcPr>
            <w:tcW w:w="992" w:type="dxa"/>
            <w:vAlign w:val="center"/>
          </w:tcPr>
          <w:p w14:paraId="15F6F590" w14:textId="51B11434"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13,0</w:t>
            </w:r>
          </w:p>
        </w:tc>
        <w:tc>
          <w:tcPr>
            <w:tcW w:w="850" w:type="dxa"/>
            <w:vAlign w:val="center"/>
          </w:tcPr>
          <w:p w14:paraId="3E376111" w14:textId="4D7F8319"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5,6</w:t>
            </w:r>
          </w:p>
        </w:tc>
        <w:tc>
          <w:tcPr>
            <w:tcW w:w="851" w:type="dxa"/>
            <w:vAlign w:val="center"/>
          </w:tcPr>
          <w:p w14:paraId="6D939527" w14:textId="1FF869C8"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1,8</w:t>
            </w:r>
          </w:p>
        </w:tc>
        <w:tc>
          <w:tcPr>
            <w:tcW w:w="992" w:type="dxa"/>
            <w:vAlign w:val="center"/>
          </w:tcPr>
          <w:p w14:paraId="51CDDA0D" w14:textId="264DAFA7"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r>
      <w:tr w:rsidR="004D41A6" w:rsidRPr="002964D2" w14:paraId="3C08C7F5" w14:textId="77777777" w:rsidTr="00A732EC">
        <w:tc>
          <w:tcPr>
            <w:tcW w:w="3397" w:type="dxa"/>
            <w:vAlign w:val="center"/>
          </w:tcPr>
          <w:p w14:paraId="7B937509" w14:textId="77777777" w:rsidR="004D41A6" w:rsidRPr="00985ACB" w:rsidRDefault="004D41A6" w:rsidP="004D41A6">
            <w:pPr>
              <w:overflowPunct/>
              <w:autoSpaceDE/>
              <w:autoSpaceDN/>
              <w:adjustRightInd/>
              <w:textAlignment w:val="auto"/>
              <w:rPr>
                <w:bCs/>
                <w:sz w:val="20"/>
                <w:vertAlign w:val="superscript"/>
              </w:rPr>
            </w:pPr>
            <w:r w:rsidRPr="00985ACB">
              <w:rPr>
                <w:bCs/>
                <w:sz w:val="20"/>
              </w:rPr>
              <w:t>Myönnetty määräraha (milj. €)</w:t>
            </w:r>
          </w:p>
        </w:tc>
        <w:tc>
          <w:tcPr>
            <w:tcW w:w="851" w:type="dxa"/>
            <w:vAlign w:val="center"/>
          </w:tcPr>
          <w:p w14:paraId="62FDC797" w14:textId="148DBCD3"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5,3</w:t>
            </w:r>
          </w:p>
        </w:tc>
        <w:tc>
          <w:tcPr>
            <w:tcW w:w="850" w:type="dxa"/>
          </w:tcPr>
          <w:p w14:paraId="3CDEC64B" w14:textId="1BB96F27"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15,7</w:t>
            </w:r>
          </w:p>
        </w:tc>
        <w:tc>
          <w:tcPr>
            <w:tcW w:w="993" w:type="dxa"/>
          </w:tcPr>
          <w:p w14:paraId="496A0E4D" w14:textId="2DDE53D0"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17,8</w:t>
            </w:r>
          </w:p>
        </w:tc>
        <w:tc>
          <w:tcPr>
            <w:tcW w:w="992" w:type="dxa"/>
          </w:tcPr>
          <w:p w14:paraId="04B37EC3" w14:textId="159D2961"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10,4</w:t>
            </w:r>
          </w:p>
        </w:tc>
        <w:tc>
          <w:tcPr>
            <w:tcW w:w="850" w:type="dxa"/>
          </w:tcPr>
          <w:p w14:paraId="68050DF8" w14:textId="16BBCE5A"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4,6</w:t>
            </w:r>
          </w:p>
        </w:tc>
        <w:tc>
          <w:tcPr>
            <w:tcW w:w="851" w:type="dxa"/>
          </w:tcPr>
          <w:p w14:paraId="0457D7BD" w14:textId="0B49E040"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1,8</w:t>
            </w:r>
          </w:p>
        </w:tc>
        <w:tc>
          <w:tcPr>
            <w:tcW w:w="992" w:type="dxa"/>
            <w:vAlign w:val="center"/>
          </w:tcPr>
          <w:p w14:paraId="38FC2449" w14:textId="4BC06F29"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r>
      <w:tr w:rsidR="004D41A6" w:rsidRPr="002964D2" w14:paraId="781BF85A" w14:textId="77777777" w:rsidTr="00A732EC">
        <w:trPr>
          <w:trHeight w:val="60"/>
        </w:trPr>
        <w:tc>
          <w:tcPr>
            <w:tcW w:w="3397" w:type="dxa"/>
            <w:vAlign w:val="center"/>
          </w:tcPr>
          <w:p w14:paraId="37EBC7C3" w14:textId="77777777" w:rsidR="004D41A6" w:rsidRPr="00985ACB" w:rsidRDefault="004D41A6" w:rsidP="004D41A6">
            <w:pPr>
              <w:overflowPunct/>
              <w:autoSpaceDE/>
              <w:autoSpaceDN/>
              <w:adjustRightInd/>
              <w:textAlignment w:val="auto"/>
              <w:rPr>
                <w:bCs/>
                <w:sz w:val="20"/>
              </w:rPr>
            </w:pPr>
            <w:r w:rsidRPr="00985ACB">
              <w:rPr>
                <w:bCs/>
                <w:sz w:val="20"/>
              </w:rPr>
              <w:t>Siirtomääräkanta (31.12.)</w:t>
            </w:r>
          </w:p>
        </w:tc>
        <w:tc>
          <w:tcPr>
            <w:tcW w:w="851" w:type="dxa"/>
            <w:vAlign w:val="center"/>
          </w:tcPr>
          <w:p w14:paraId="6B5B61CC" w14:textId="1FE749CF"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1,4</w:t>
            </w:r>
          </w:p>
        </w:tc>
        <w:tc>
          <w:tcPr>
            <w:tcW w:w="850" w:type="dxa"/>
          </w:tcPr>
          <w:p w14:paraId="2BC3C6C5" w14:textId="3BF58619"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5,4</w:t>
            </w:r>
          </w:p>
        </w:tc>
        <w:tc>
          <w:tcPr>
            <w:tcW w:w="993" w:type="dxa"/>
          </w:tcPr>
          <w:p w14:paraId="10AD508E" w14:textId="375F0A36"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3,6</w:t>
            </w:r>
          </w:p>
        </w:tc>
        <w:tc>
          <w:tcPr>
            <w:tcW w:w="992" w:type="dxa"/>
          </w:tcPr>
          <w:p w14:paraId="63F81B05" w14:textId="2555FA23"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1,0</w:t>
            </w:r>
          </w:p>
        </w:tc>
        <w:tc>
          <w:tcPr>
            <w:tcW w:w="850" w:type="dxa"/>
          </w:tcPr>
          <w:p w14:paraId="40317AF0" w14:textId="6EBD0DC0"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0,0</w:t>
            </w:r>
          </w:p>
        </w:tc>
        <w:tc>
          <w:tcPr>
            <w:tcW w:w="851" w:type="dxa"/>
          </w:tcPr>
          <w:p w14:paraId="45462726" w14:textId="60E9D352"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0,0</w:t>
            </w:r>
          </w:p>
        </w:tc>
        <w:tc>
          <w:tcPr>
            <w:tcW w:w="992" w:type="dxa"/>
            <w:vAlign w:val="center"/>
          </w:tcPr>
          <w:p w14:paraId="2F58AE1A" w14:textId="58A1BCF0"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r>
      <w:tr w:rsidR="004D41A6" w:rsidRPr="002964D2" w14:paraId="26D82793" w14:textId="77777777" w:rsidTr="00A732EC">
        <w:trPr>
          <w:trHeight w:val="244"/>
        </w:trPr>
        <w:tc>
          <w:tcPr>
            <w:tcW w:w="3397" w:type="dxa"/>
            <w:vAlign w:val="center"/>
          </w:tcPr>
          <w:p w14:paraId="64139DE3" w14:textId="77777777" w:rsidR="004D41A6" w:rsidRPr="00985ACB" w:rsidRDefault="004D41A6" w:rsidP="004D41A6">
            <w:pPr>
              <w:overflowPunct/>
              <w:autoSpaceDE/>
              <w:autoSpaceDN/>
              <w:adjustRightInd/>
              <w:textAlignment w:val="auto"/>
              <w:rPr>
                <w:bCs/>
                <w:sz w:val="20"/>
              </w:rPr>
            </w:pPr>
            <w:r w:rsidRPr="00985ACB">
              <w:rPr>
                <w:bCs/>
                <w:sz w:val="20"/>
              </w:rPr>
              <w:t>Henkilötyömäärätarve (Htv)</w:t>
            </w:r>
          </w:p>
        </w:tc>
        <w:tc>
          <w:tcPr>
            <w:tcW w:w="851" w:type="dxa"/>
            <w:vAlign w:val="center"/>
          </w:tcPr>
          <w:p w14:paraId="5F9CFDC8" w14:textId="7E47BF53"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 xml:space="preserve">20 </w:t>
            </w:r>
          </w:p>
        </w:tc>
        <w:tc>
          <w:tcPr>
            <w:tcW w:w="850" w:type="dxa"/>
          </w:tcPr>
          <w:p w14:paraId="24C0C636" w14:textId="56116141"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43 </w:t>
            </w:r>
          </w:p>
        </w:tc>
        <w:tc>
          <w:tcPr>
            <w:tcW w:w="993" w:type="dxa"/>
          </w:tcPr>
          <w:p w14:paraId="1280D651" w14:textId="1646BD90"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73 </w:t>
            </w:r>
          </w:p>
        </w:tc>
        <w:tc>
          <w:tcPr>
            <w:tcW w:w="992" w:type="dxa"/>
          </w:tcPr>
          <w:p w14:paraId="73AAACF3" w14:textId="484A7AE6"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54 </w:t>
            </w:r>
          </w:p>
        </w:tc>
        <w:tc>
          <w:tcPr>
            <w:tcW w:w="850" w:type="dxa"/>
          </w:tcPr>
          <w:p w14:paraId="75B9EA13" w14:textId="453D329B"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30 </w:t>
            </w:r>
          </w:p>
        </w:tc>
        <w:tc>
          <w:tcPr>
            <w:tcW w:w="851" w:type="dxa"/>
          </w:tcPr>
          <w:p w14:paraId="7855C838" w14:textId="2B2788F6"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11 </w:t>
            </w:r>
          </w:p>
        </w:tc>
        <w:tc>
          <w:tcPr>
            <w:tcW w:w="992" w:type="dxa"/>
            <w:vAlign w:val="center"/>
          </w:tcPr>
          <w:p w14:paraId="0DEF0D26" w14:textId="64366327"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r>
      <w:tr w:rsidR="004D41A6" w:rsidRPr="002964D2" w14:paraId="4F7552AC" w14:textId="77777777" w:rsidTr="00A732EC">
        <w:tc>
          <w:tcPr>
            <w:tcW w:w="3397" w:type="dxa"/>
            <w:vAlign w:val="center"/>
          </w:tcPr>
          <w:p w14:paraId="4D72F1CB" w14:textId="77777777" w:rsidR="004D41A6" w:rsidRPr="00985ACB" w:rsidRDefault="004D41A6" w:rsidP="004D41A6">
            <w:pPr>
              <w:overflowPunct/>
              <w:autoSpaceDE/>
              <w:autoSpaceDN/>
              <w:adjustRightInd/>
              <w:textAlignment w:val="auto"/>
              <w:rPr>
                <w:bCs/>
                <w:sz w:val="20"/>
                <w:vertAlign w:val="superscript"/>
              </w:rPr>
            </w:pPr>
            <w:r w:rsidRPr="00985ACB">
              <w:rPr>
                <w:bCs/>
                <w:sz w:val="20"/>
              </w:rPr>
              <w:t>VM TUSO-HTV-tavoite (Htv)</w:t>
            </w:r>
            <w:r w:rsidRPr="00985ACB">
              <w:rPr>
                <w:bCs/>
                <w:sz w:val="20"/>
                <w:vertAlign w:val="superscript"/>
              </w:rPr>
              <w:t>(2</w:t>
            </w:r>
          </w:p>
        </w:tc>
        <w:tc>
          <w:tcPr>
            <w:tcW w:w="851" w:type="dxa"/>
            <w:vAlign w:val="center"/>
          </w:tcPr>
          <w:p w14:paraId="4DB2C5D9" w14:textId="6B9571CF"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 xml:space="preserve">12 </w:t>
            </w:r>
          </w:p>
        </w:tc>
        <w:tc>
          <w:tcPr>
            <w:tcW w:w="850" w:type="dxa"/>
          </w:tcPr>
          <w:p w14:paraId="5E5CEC26" w14:textId="1B08B44B"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40 </w:t>
            </w:r>
          </w:p>
        </w:tc>
        <w:tc>
          <w:tcPr>
            <w:tcW w:w="993" w:type="dxa"/>
          </w:tcPr>
          <w:p w14:paraId="2DDC513C" w14:textId="7519D905"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69 </w:t>
            </w:r>
          </w:p>
        </w:tc>
        <w:tc>
          <w:tcPr>
            <w:tcW w:w="992" w:type="dxa"/>
          </w:tcPr>
          <w:p w14:paraId="7825460E" w14:textId="66185DA1"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50 </w:t>
            </w:r>
          </w:p>
        </w:tc>
        <w:tc>
          <w:tcPr>
            <w:tcW w:w="850" w:type="dxa"/>
          </w:tcPr>
          <w:p w14:paraId="48FD906E" w14:textId="00371F1E"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28 </w:t>
            </w:r>
          </w:p>
        </w:tc>
        <w:tc>
          <w:tcPr>
            <w:tcW w:w="851" w:type="dxa"/>
          </w:tcPr>
          <w:p w14:paraId="429AA3DA" w14:textId="7DF05E86"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 xml:space="preserve">9 </w:t>
            </w:r>
          </w:p>
        </w:tc>
        <w:tc>
          <w:tcPr>
            <w:tcW w:w="992" w:type="dxa"/>
            <w:vAlign w:val="center"/>
          </w:tcPr>
          <w:p w14:paraId="418CBE82" w14:textId="59AF31D0"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r>
    </w:tbl>
    <w:p w14:paraId="62F17B55" w14:textId="00C755CF" w:rsidR="002964D2" w:rsidRPr="002964D2" w:rsidRDefault="002964D2" w:rsidP="002964D2">
      <w:pPr>
        <w:numPr>
          <w:ilvl w:val="0"/>
          <w:numId w:val="25"/>
        </w:numPr>
        <w:overflowPunct/>
        <w:autoSpaceDE/>
        <w:autoSpaceDN/>
        <w:adjustRightInd/>
        <w:textAlignment w:val="auto"/>
        <w:rPr>
          <w:i/>
          <w:iCs/>
          <w:sz w:val="18"/>
        </w:rPr>
      </w:pPr>
      <w:r w:rsidRPr="002964D2">
        <w:rPr>
          <w:i/>
          <w:iCs/>
          <w:sz w:val="18"/>
        </w:rPr>
        <w:t xml:space="preserve">Positiivisen luottotietorekisterin perustamishankkeessa konsernin sisäinen kehysraami perustuu Verohallinnon </w:t>
      </w:r>
      <w:r w:rsidR="00424726">
        <w:rPr>
          <w:i/>
          <w:iCs/>
          <w:sz w:val="18"/>
        </w:rPr>
        <w:t xml:space="preserve">VM:lle </w:t>
      </w:r>
      <w:r w:rsidRPr="002964D2">
        <w:rPr>
          <w:i/>
          <w:iCs/>
          <w:sz w:val="18"/>
        </w:rPr>
        <w:t>toimittamaan HE tarkennettuun investointiesitykseen ja sähköisen identiteetinhallinnan edellyttämiin muutoksiin.</w:t>
      </w:r>
    </w:p>
    <w:p w14:paraId="65154677" w14:textId="77777777" w:rsidR="002964D2" w:rsidRPr="002964D2" w:rsidRDefault="002964D2" w:rsidP="002964D2">
      <w:pPr>
        <w:numPr>
          <w:ilvl w:val="0"/>
          <w:numId w:val="25"/>
        </w:numPr>
        <w:rPr>
          <w:i/>
          <w:iCs/>
          <w:sz w:val="18"/>
        </w:rPr>
      </w:pPr>
      <w:r w:rsidRPr="002964D2">
        <w:rPr>
          <w:i/>
          <w:iCs/>
          <w:sz w:val="18"/>
        </w:rPr>
        <w:t>TUSO-HTV-tavoitteessa on huomioitu alentavana eränä Tulorekisteriyksikön henkilötyön ostot Verohallinnon muista yksiköistä ostopalveluna (menolaskelmassa huomioituina asiantuntijapalveluiden ostomenoina).</w:t>
      </w:r>
    </w:p>
    <w:p w14:paraId="22CCFCEE" w14:textId="77777777" w:rsidR="00CA7F09" w:rsidRDefault="00CA7F09" w:rsidP="00D02275">
      <w:pPr>
        <w:rPr>
          <w:color w:val="000000" w:themeColor="text1"/>
        </w:rPr>
      </w:pPr>
    </w:p>
    <w:p w14:paraId="6E95A74D" w14:textId="1A32C441" w:rsidR="002964D2" w:rsidRDefault="00FB649A" w:rsidP="001E4F74">
      <w:pPr>
        <w:rPr>
          <w:color w:val="000000" w:themeColor="text1"/>
        </w:rPr>
      </w:pPr>
      <w:r>
        <w:rPr>
          <w:color w:val="000000" w:themeColor="text1"/>
        </w:rPr>
        <w:lastRenderedPageBreak/>
        <w:t>Positiivisen luottotietorekisterin</w:t>
      </w:r>
      <w:r w:rsidRPr="002964D2">
        <w:rPr>
          <w:color w:val="000000" w:themeColor="text1"/>
        </w:rPr>
        <w:t xml:space="preserve"> toimintamenot </w:t>
      </w:r>
      <w:r>
        <w:rPr>
          <w:color w:val="000000" w:themeColor="text1"/>
        </w:rPr>
        <w:t xml:space="preserve">ovat </w:t>
      </w:r>
      <w:r w:rsidRPr="002700C0">
        <w:rPr>
          <w:color w:val="000000" w:themeColor="text1"/>
        </w:rPr>
        <w:t>vuodesta 2020</w:t>
      </w:r>
      <w:r w:rsidRPr="002964D2">
        <w:rPr>
          <w:color w:val="000000" w:themeColor="text1"/>
        </w:rPr>
        <w:t xml:space="preserve"> alkaen erillään kansallisesta tulorekisteritoiminnasta. </w:t>
      </w:r>
      <w:r w:rsidR="00D02275" w:rsidRPr="002964D2">
        <w:rPr>
          <w:color w:val="000000" w:themeColor="text1"/>
        </w:rPr>
        <w:t xml:space="preserve">Investoinnin kokonaisrahoitustaso </w:t>
      </w:r>
      <w:r w:rsidR="00120EEC">
        <w:rPr>
          <w:color w:val="000000" w:themeColor="text1"/>
        </w:rPr>
        <w:t>on</w:t>
      </w:r>
      <w:r w:rsidR="00D02275" w:rsidRPr="002964D2">
        <w:rPr>
          <w:color w:val="000000" w:themeColor="text1"/>
        </w:rPr>
        <w:t xml:space="preserve"> 55,</w:t>
      </w:r>
      <w:r w:rsidR="00120EEC">
        <w:rPr>
          <w:color w:val="000000" w:themeColor="text1"/>
        </w:rPr>
        <w:t>8</w:t>
      </w:r>
      <w:r w:rsidR="00D02275" w:rsidRPr="002964D2">
        <w:rPr>
          <w:color w:val="000000" w:themeColor="text1"/>
        </w:rPr>
        <w:t xml:space="preserve"> M€</w:t>
      </w:r>
      <w:r w:rsidR="00C439C6">
        <w:rPr>
          <w:color w:val="000000" w:themeColor="text1"/>
        </w:rPr>
        <w:t>.</w:t>
      </w:r>
      <w:r w:rsidR="00D02275" w:rsidRPr="002964D2">
        <w:rPr>
          <w:color w:val="000000" w:themeColor="text1"/>
        </w:rPr>
        <w:t xml:space="preserve"> Rahoitus on myönnetty vuoteen 2023 asti esitysten mukaisesti</w:t>
      </w:r>
      <w:r w:rsidR="00C439C6">
        <w:rPr>
          <w:color w:val="000000" w:themeColor="text1"/>
        </w:rPr>
        <w:t xml:space="preserve">. </w:t>
      </w:r>
      <w:r w:rsidR="002964D2" w:rsidRPr="002964D2">
        <w:rPr>
          <w:color w:val="000000" w:themeColor="text1"/>
        </w:rPr>
        <w:t xml:space="preserve">Positiivisen luottotietorekisterin perustoimintaan varautuminen </w:t>
      </w:r>
      <w:r w:rsidR="00801337">
        <w:rPr>
          <w:color w:val="000000" w:themeColor="text1"/>
        </w:rPr>
        <w:t>aloitetaan</w:t>
      </w:r>
      <w:r w:rsidR="002964D2" w:rsidRPr="002964D2">
        <w:rPr>
          <w:color w:val="000000" w:themeColor="text1"/>
        </w:rPr>
        <w:t xml:space="preserve"> alkuvuodesta 2023</w:t>
      </w:r>
      <w:r w:rsidR="006E657D">
        <w:rPr>
          <w:color w:val="000000" w:themeColor="text1"/>
        </w:rPr>
        <w:t xml:space="preserve">. Tuotantovaihe alkaa </w:t>
      </w:r>
      <w:r w:rsidR="002964D2" w:rsidRPr="002964D2">
        <w:rPr>
          <w:color w:val="000000" w:themeColor="text1"/>
        </w:rPr>
        <w:t xml:space="preserve">1.3.2024. </w:t>
      </w:r>
    </w:p>
    <w:p w14:paraId="16BF102E" w14:textId="77777777" w:rsidR="00B3568B" w:rsidRPr="002964D2" w:rsidRDefault="00B3568B" w:rsidP="002964D2">
      <w:pPr>
        <w:overflowPunct/>
        <w:autoSpaceDE/>
        <w:autoSpaceDN/>
        <w:adjustRightInd/>
        <w:textAlignment w:val="auto"/>
        <w:rPr>
          <w:color w:val="000000" w:themeColor="text1"/>
        </w:rPr>
      </w:pPr>
    </w:p>
    <w:p w14:paraId="68E91471" w14:textId="04B1AE43" w:rsidR="009E264F" w:rsidRPr="002964D2" w:rsidRDefault="009E264F" w:rsidP="009E264F">
      <w:pPr>
        <w:overflowPunct/>
        <w:autoSpaceDE/>
        <w:autoSpaceDN/>
        <w:adjustRightInd/>
        <w:textAlignment w:val="auto"/>
        <w:rPr>
          <w:b/>
          <w:color w:val="000000" w:themeColor="text1"/>
          <w:sz w:val="20"/>
        </w:rPr>
      </w:pPr>
      <w:r w:rsidRPr="002964D2">
        <w:rPr>
          <w:b/>
          <w:color w:val="000000" w:themeColor="text1"/>
          <w:sz w:val="20"/>
        </w:rPr>
        <w:t xml:space="preserve">Taulukko </w:t>
      </w:r>
      <w:r>
        <w:rPr>
          <w:b/>
          <w:color w:val="000000" w:themeColor="text1"/>
          <w:sz w:val="20"/>
        </w:rPr>
        <w:t>6</w:t>
      </w:r>
      <w:r w:rsidRPr="002964D2">
        <w:rPr>
          <w:b/>
          <w:color w:val="000000" w:themeColor="text1"/>
          <w:sz w:val="20"/>
        </w:rPr>
        <w:t xml:space="preserve">. Positiivisen luottotietorekisterin </w:t>
      </w:r>
      <w:r w:rsidR="004232D8">
        <w:rPr>
          <w:b/>
          <w:color w:val="000000" w:themeColor="text1"/>
          <w:sz w:val="20"/>
        </w:rPr>
        <w:t>kehyssuunnitelma</w:t>
      </w:r>
      <w:r w:rsidRPr="002964D2">
        <w:rPr>
          <w:b/>
          <w:color w:val="000000" w:themeColor="text1"/>
          <w:sz w:val="20"/>
        </w:rPr>
        <w:t xml:space="preserve"> vuoteen 2027 asti (</w:t>
      </w:r>
      <w:r w:rsidRPr="002700C0">
        <w:rPr>
          <w:b/>
          <w:color w:val="000000" w:themeColor="text1"/>
          <w:sz w:val="20"/>
        </w:rPr>
        <w:t>tilanne 4.10.2022).</w:t>
      </w:r>
    </w:p>
    <w:p w14:paraId="4D7C3C60" w14:textId="77777777" w:rsidR="002964D2" w:rsidRPr="002964D2" w:rsidRDefault="002964D2" w:rsidP="002749A6">
      <w:pPr>
        <w:overflowPunct/>
        <w:autoSpaceDE/>
        <w:autoSpaceDN/>
        <w:adjustRightInd/>
        <w:spacing w:line="200" w:lineRule="exact"/>
        <w:textAlignment w:val="auto"/>
        <w:rPr>
          <w:color w:val="000000" w:themeColor="text1"/>
        </w:rPr>
      </w:pPr>
    </w:p>
    <w:tbl>
      <w:tblPr>
        <w:tblStyle w:val="TaulukkoRuudukko1"/>
        <w:tblW w:w="9634" w:type="dxa"/>
        <w:tblLayout w:type="fixed"/>
        <w:tblLook w:val="04A0" w:firstRow="1" w:lastRow="0" w:firstColumn="1" w:lastColumn="0" w:noHBand="0" w:noVBand="1"/>
      </w:tblPr>
      <w:tblGrid>
        <w:gridCol w:w="4531"/>
        <w:gridCol w:w="709"/>
        <w:gridCol w:w="851"/>
        <w:gridCol w:w="708"/>
        <w:gridCol w:w="709"/>
        <w:gridCol w:w="709"/>
        <w:gridCol w:w="709"/>
        <w:gridCol w:w="708"/>
      </w:tblGrid>
      <w:tr w:rsidR="002964D2" w:rsidRPr="002964D2" w14:paraId="70AAD4E5" w14:textId="77777777" w:rsidTr="004D5BF0">
        <w:trPr>
          <w:trHeight w:val="584"/>
          <w:tblHeader/>
        </w:trPr>
        <w:tc>
          <w:tcPr>
            <w:tcW w:w="4531" w:type="dxa"/>
            <w:shd w:val="clear" w:color="auto" w:fill="E5EFE5" w:themeFill="background2"/>
          </w:tcPr>
          <w:p w14:paraId="4FE65C02" w14:textId="4F9579E7" w:rsidR="002964D2" w:rsidRPr="002964D2" w:rsidRDefault="002964D2" w:rsidP="002749A6">
            <w:pPr>
              <w:overflowPunct/>
              <w:autoSpaceDE/>
              <w:autoSpaceDN/>
              <w:adjustRightInd/>
              <w:jc w:val="left"/>
              <w:textAlignment w:val="auto"/>
              <w:rPr>
                <w:b/>
                <w:sz w:val="20"/>
              </w:rPr>
            </w:pPr>
            <w:bookmarkStart w:id="21" w:name="_Hlk104273679"/>
            <w:r w:rsidRPr="002964D2">
              <w:rPr>
                <w:b/>
                <w:sz w:val="20"/>
              </w:rPr>
              <w:t>Positiivisen</w:t>
            </w:r>
            <w:r w:rsidR="002749A6">
              <w:rPr>
                <w:b/>
                <w:sz w:val="20"/>
              </w:rPr>
              <w:t xml:space="preserve"> </w:t>
            </w:r>
            <w:r w:rsidRPr="002964D2">
              <w:rPr>
                <w:b/>
                <w:sz w:val="20"/>
              </w:rPr>
              <w:t>luottotietorekisterin toimintamenot</w:t>
            </w:r>
            <w:r w:rsidR="005326E2">
              <w:rPr>
                <w:b/>
                <w:sz w:val="20"/>
              </w:rPr>
              <w:t xml:space="preserve">, </w:t>
            </w:r>
            <w:r w:rsidR="005326E2" w:rsidRPr="002964D2">
              <w:rPr>
                <w:b/>
                <w:sz w:val="20"/>
              </w:rPr>
              <w:t>Mom. 28.10.03</w:t>
            </w:r>
          </w:p>
        </w:tc>
        <w:tc>
          <w:tcPr>
            <w:tcW w:w="709" w:type="dxa"/>
            <w:shd w:val="clear" w:color="auto" w:fill="E5EFE5" w:themeFill="background2"/>
          </w:tcPr>
          <w:p w14:paraId="53649809" w14:textId="77777777" w:rsidR="002964D2" w:rsidRPr="002964D2" w:rsidRDefault="002964D2" w:rsidP="002964D2">
            <w:pPr>
              <w:overflowPunct/>
              <w:autoSpaceDE/>
              <w:autoSpaceDN/>
              <w:adjustRightInd/>
              <w:textAlignment w:val="auto"/>
              <w:rPr>
                <w:b/>
                <w:sz w:val="20"/>
              </w:rPr>
            </w:pPr>
            <w:r w:rsidRPr="002964D2">
              <w:rPr>
                <w:b/>
                <w:sz w:val="20"/>
              </w:rPr>
              <w:t>2021</w:t>
            </w:r>
          </w:p>
          <w:p w14:paraId="55296CE8" w14:textId="77777777" w:rsidR="002964D2" w:rsidRPr="002964D2" w:rsidRDefault="002964D2" w:rsidP="002964D2">
            <w:pPr>
              <w:overflowPunct/>
              <w:autoSpaceDE/>
              <w:autoSpaceDN/>
              <w:adjustRightInd/>
              <w:textAlignment w:val="auto"/>
              <w:rPr>
                <w:b/>
                <w:sz w:val="20"/>
              </w:rPr>
            </w:pPr>
            <w:r w:rsidRPr="002964D2">
              <w:rPr>
                <w:b/>
                <w:sz w:val="20"/>
              </w:rPr>
              <w:t>Tot.</w:t>
            </w:r>
          </w:p>
        </w:tc>
        <w:tc>
          <w:tcPr>
            <w:tcW w:w="851" w:type="dxa"/>
            <w:shd w:val="clear" w:color="auto" w:fill="E5EFE5" w:themeFill="background2"/>
          </w:tcPr>
          <w:p w14:paraId="3143DFBE" w14:textId="77777777" w:rsidR="002964D2" w:rsidRPr="002964D2" w:rsidRDefault="002964D2" w:rsidP="002964D2">
            <w:pPr>
              <w:overflowPunct/>
              <w:autoSpaceDE/>
              <w:autoSpaceDN/>
              <w:adjustRightInd/>
              <w:textAlignment w:val="auto"/>
              <w:rPr>
                <w:b/>
                <w:sz w:val="20"/>
              </w:rPr>
            </w:pPr>
            <w:r w:rsidRPr="002964D2">
              <w:rPr>
                <w:b/>
                <w:sz w:val="20"/>
              </w:rPr>
              <w:t>2022</w:t>
            </w:r>
          </w:p>
          <w:p w14:paraId="13EB3F3D" w14:textId="77777777" w:rsidR="002964D2" w:rsidRPr="002964D2" w:rsidRDefault="002964D2" w:rsidP="002964D2">
            <w:pPr>
              <w:overflowPunct/>
              <w:autoSpaceDE/>
              <w:autoSpaceDN/>
              <w:adjustRightInd/>
              <w:textAlignment w:val="auto"/>
              <w:rPr>
                <w:b/>
                <w:sz w:val="20"/>
              </w:rPr>
            </w:pPr>
            <w:r w:rsidRPr="002964D2">
              <w:rPr>
                <w:b/>
                <w:sz w:val="20"/>
              </w:rPr>
              <w:t>Arvio</w:t>
            </w:r>
          </w:p>
        </w:tc>
        <w:tc>
          <w:tcPr>
            <w:tcW w:w="708" w:type="dxa"/>
            <w:shd w:val="clear" w:color="auto" w:fill="E5EFE5" w:themeFill="background2"/>
          </w:tcPr>
          <w:p w14:paraId="42E5B803" w14:textId="77777777" w:rsidR="002964D2" w:rsidRPr="002964D2" w:rsidRDefault="002964D2" w:rsidP="002964D2">
            <w:pPr>
              <w:overflowPunct/>
              <w:autoSpaceDE/>
              <w:autoSpaceDN/>
              <w:adjustRightInd/>
              <w:textAlignment w:val="auto"/>
              <w:rPr>
                <w:b/>
                <w:sz w:val="20"/>
              </w:rPr>
            </w:pPr>
            <w:r w:rsidRPr="002964D2">
              <w:rPr>
                <w:b/>
                <w:sz w:val="20"/>
              </w:rPr>
              <w:t>2023</w:t>
            </w:r>
          </w:p>
          <w:p w14:paraId="01D1356B" w14:textId="77777777" w:rsidR="002964D2" w:rsidRPr="002964D2" w:rsidRDefault="002964D2" w:rsidP="002964D2">
            <w:pPr>
              <w:overflowPunct/>
              <w:autoSpaceDE/>
              <w:autoSpaceDN/>
              <w:adjustRightInd/>
              <w:textAlignment w:val="auto"/>
              <w:rPr>
                <w:b/>
                <w:sz w:val="20"/>
              </w:rPr>
            </w:pPr>
            <w:r w:rsidRPr="002964D2">
              <w:rPr>
                <w:b/>
                <w:sz w:val="20"/>
              </w:rPr>
              <w:t>TAE</w:t>
            </w:r>
          </w:p>
        </w:tc>
        <w:tc>
          <w:tcPr>
            <w:tcW w:w="709" w:type="dxa"/>
            <w:shd w:val="clear" w:color="auto" w:fill="E5EFE5" w:themeFill="background2"/>
          </w:tcPr>
          <w:p w14:paraId="51FAF3AE" w14:textId="77777777" w:rsidR="002964D2" w:rsidRPr="002964D2" w:rsidRDefault="002964D2" w:rsidP="002964D2">
            <w:pPr>
              <w:overflowPunct/>
              <w:autoSpaceDE/>
              <w:autoSpaceDN/>
              <w:adjustRightInd/>
              <w:textAlignment w:val="auto"/>
              <w:rPr>
                <w:b/>
                <w:sz w:val="20"/>
              </w:rPr>
            </w:pPr>
            <w:r w:rsidRPr="002964D2">
              <w:rPr>
                <w:b/>
                <w:sz w:val="20"/>
              </w:rPr>
              <w:t>2024</w:t>
            </w:r>
          </w:p>
          <w:p w14:paraId="236341B1" w14:textId="77777777" w:rsidR="002964D2" w:rsidRPr="002964D2" w:rsidRDefault="002964D2" w:rsidP="002964D2">
            <w:pPr>
              <w:overflowPunct/>
              <w:autoSpaceDE/>
              <w:autoSpaceDN/>
              <w:adjustRightInd/>
              <w:textAlignment w:val="auto"/>
              <w:rPr>
                <w:b/>
                <w:sz w:val="20"/>
              </w:rPr>
            </w:pPr>
            <w:r w:rsidRPr="002964D2">
              <w:rPr>
                <w:b/>
                <w:sz w:val="20"/>
              </w:rPr>
              <w:t>TTS</w:t>
            </w:r>
          </w:p>
        </w:tc>
        <w:tc>
          <w:tcPr>
            <w:tcW w:w="709" w:type="dxa"/>
            <w:shd w:val="clear" w:color="auto" w:fill="E5EFE5" w:themeFill="background2"/>
          </w:tcPr>
          <w:p w14:paraId="31DBE7DD" w14:textId="77777777" w:rsidR="002964D2" w:rsidRPr="002964D2" w:rsidRDefault="002964D2" w:rsidP="002964D2">
            <w:pPr>
              <w:overflowPunct/>
              <w:autoSpaceDE/>
              <w:autoSpaceDN/>
              <w:adjustRightInd/>
              <w:ind w:left="-526" w:firstLine="526"/>
              <w:textAlignment w:val="auto"/>
              <w:rPr>
                <w:b/>
                <w:sz w:val="20"/>
              </w:rPr>
            </w:pPr>
            <w:r w:rsidRPr="002964D2">
              <w:rPr>
                <w:b/>
                <w:sz w:val="20"/>
              </w:rPr>
              <w:t>2025</w:t>
            </w:r>
          </w:p>
          <w:p w14:paraId="5C5AC47A" w14:textId="77777777" w:rsidR="002964D2" w:rsidRPr="002964D2" w:rsidRDefault="002964D2" w:rsidP="002964D2">
            <w:pPr>
              <w:overflowPunct/>
              <w:autoSpaceDE/>
              <w:autoSpaceDN/>
              <w:adjustRightInd/>
              <w:textAlignment w:val="auto"/>
              <w:rPr>
                <w:b/>
                <w:sz w:val="20"/>
              </w:rPr>
            </w:pPr>
            <w:r w:rsidRPr="002964D2">
              <w:rPr>
                <w:b/>
                <w:sz w:val="20"/>
              </w:rPr>
              <w:t>TTS</w:t>
            </w:r>
          </w:p>
        </w:tc>
        <w:tc>
          <w:tcPr>
            <w:tcW w:w="709" w:type="dxa"/>
            <w:shd w:val="clear" w:color="auto" w:fill="E5EFE5" w:themeFill="background2"/>
          </w:tcPr>
          <w:p w14:paraId="21306931" w14:textId="77777777" w:rsidR="002964D2" w:rsidRPr="002964D2" w:rsidRDefault="002964D2" w:rsidP="002964D2">
            <w:pPr>
              <w:overflowPunct/>
              <w:autoSpaceDE/>
              <w:autoSpaceDN/>
              <w:adjustRightInd/>
              <w:textAlignment w:val="auto"/>
              <w:rPr>
                <w:b/>
                <w:sz w:val="20"/>
              </w:rPr>
            </w:pPr>
            <w:r w:rsidRPr="002964D2">
              <w:rPr>
                <w:b/>
                <w:sz w:val="20"/>
              </w:rPr>
              <w:t>2026</w:t>
            </w:r>
          </w:p>
          <w:p w14:paraId="594053B7" w14:textId="77777777" w:rsidR="002964D2" w:rsidRPr="002964D2" w:rsidRDefault="002964D2" w:rsidP="002964D2">
            <w:pPr>
              <w:overflowPunct/>
              <w:autoSpaceDE/>
              <w:autoSpaceDN/>
              <w:adjustRightInd/>
              <w:textAlignment w:val="auto"/>
              <w:rPr>
                <w:b/>
                <w:sz w:val="20"/>
              </w:rPr>
            </w:pPr>
            <w:r w:rsidRPr="002964D2">
              <w:rPr>
                <w:b/>
                <w:sz w:val="20"/>
              </w:rPr>
              <w:t>TTS</w:t>
            </w:r>
          </w:p>
        </w:tc>
        <w:tc>
          <w:tcPr>
            <w:tcW w:w="708" w:type="dxa"/>
            <w:shd w:val="clear" w:color="auto" w:fill="E5EFE5" w:themeFill="background2"/>
          </w:tcPr>
          <w:p w14:paraId="13D8884C" w14:textId="77777777" w:rsidR="002964D2" w:rsidRPr="002964D2" w:rsidRDefault="002964D2" w:rsidP="002964D2">
            <w:pPr>
              <w:overflowPunct/>
              <w:autoSpaceDE/>
              <w:autoSpaceDN/>
              <w:adjustRightInd/>
              <w:textAlignment w:val="auto"/>
              <w:rPr>
                <w:b/>
                <w:sz w:val="20"/>
              </w:rPr>
            </w:pPr>
            <w:r w:rsidRPr="002964D2">
              <w:rPr>
                <w:b/>
                <w:sz w:val="20"/>
              </w:rPr>
              <w:t>2027</w:t>
            </w:r>
          </w:p>
          <w:p w14:paraId="74F185E7" w14:textId="77777777" w:rsidR="002964D2" w:rsidRPr="002964D2" w:rsidRDefault="002964D2" w:rsidP="002964D2">
            <w:pPr>
              <w:overflowPunct/>
              <w:autoSpaceDE/>
              <w:autoSpaceDN/>
              <w:adjustRightInd/>
              <w:textAlignment w:val="auto"/>
              <w:rPr>
                <w:b/>
                <w:sz w:val="20"/>
              </w:rPr>
            </w:pPr>
            <w:r w:rsidRPr="002964D2">
              <w:rPr>
                <w:b/>
                <w:sz w:val="20"/>
              </w:rPr>
              <w:t>TTS</w:t>
            </w:r>
          </w:p>
        </w:tc>
      </w:tr>
      <w:bookmarkEnd w:id="21"/>
      <w:tr w:rsidR="004D41A6" w:rsidRPr="002964D2" w14:paraId="110F8325" w14:textId="77777777" w:rsidTr="002749A6">
        <w:trPr>
          <w:trHeight w:val="197"/>
        </w:trPr>
        <w:tc>
          <w:tcPr>
            <w:tcW w:w="4531" w:type="dxa"/>
            <w:vAlign w:val="center"/>
          </w:tcPr>
          <w:p w14:paraId="64B63745" w14:textId="77777777" w:rsidR="004D41A6" w:rsidRPr="00C8060E" w:rsidRDefault="004D41A6" w:rsidP="004D41A6">
            <w:pPr>
              <w:overflowPunct/>
              <w:autoSpaceDE/>
              <w:autoSpaceDN/>
              <w:adjustRightInd/>
              <w:textAlignment w:val="auto"/>
              <w:rPr>
                <w:bCs/>
                <w:sz w:val="20"/>
                <w:vertAlign w:val="superscript"/>
              </w:rPr>
            </w:pPr>
            <w:r w:rsidRPr="00C8060E">
              <w:rPr>
                <w:bCs/>
                <w:sz w:val="20"/>
              </w:rPr>
              <w:t>Bruttotulot (milj. €)</w:t>
            </w:r>
          </w:p>
        </w:tc>
        <w:tc>
          <w:tcPr>
            <w:tcW w:w="709" w:type="dxa"/>
            <w:vAlign w:val="center"/>
          </w:tcPr>
          <w:p w14:paraId="3D73496D" w14:textId="7B791738"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851" w:type="dxa"/>
            <w:vAlign w:val="center"/>
          </w:tcPr>
          <w:p w14:paraId="0AD4C201" w14:textId="1E857E5A"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708" w:type="dxa"/>
            <w:vAlign w:val="center"/>
          </w:tcPr>
          <w:p w14:paraId="1F2346F4" w14:textId="5FF3EBFB"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709" w:type="dxa"/>
            <w:vAlign w:val="center"/>
          </w:tcPr>
          <w:p w14:paraId="2765C706" w14:textId="3A0F8CDB" w:rsidR="004D41A6" w:rsidRPr="002964D2" w:rsidRDefault="004D41A6" w:rsidP="004D41A6">
            <w:pPr>
              <w:overflowPunct/>
              <w:autoSpaceDE/>
              <w:autoSpaceDN/>
              <w:adjustRightInd/>
              <w:jc w:val="right"/>
              <w:textAlignment w:val="auto"/>
              <w:rPr>
                <w:color w:val="000000" w:themeColor="text1"/>
                <w:sz w:val="20"/>
                <w:szCs w:val="18"/>
              </w:rPr>
            </w:pPr>
            <w:r>
              <w:rPr>
                <w:color w:val="000000" w:themeColor="text1"/>
                <w:sz w:val="20"/>
                <w:szCs w:val="18"/>
              </w:rPr>
              <w:t>6,2</w:t>
            </w:r>
          </w:p>
        </w:tc>
        <w:tc>
          <w:tcPr>
            <w:tcW w:w="709" w:type="dxa"/>
            <w:vAlign w:val="center"/>
          </w:tcPr>
          <w:p w14:paraId="0690F67E" w14:textId="45391627" w:rsidR="004D41A6" w:rsidRPr="002964D2" w:rsidRDefault="004D41A6" w:rsidP="004D41A6">
            <w:pPr>
              <w:overflowPunct/>
              <w:autoSpaceDE/>
              <w:autoSpaceDN/>
              <w:adjustRightInd/>
              <w:jc w:val="right"/>
              <w:textAlignment w:val="auto"/>
              <w:rPr>
                <w:color w:val="000000" w:themeColor="text1"/>
                <w:sz w:val="20"/>
                <w:szCs w:val="18"/>
              </w:rPr>
            </w:pPr>
            <w:r>
              <w:rPr>
                <w:color w:val="000000" w:themeColor="text1"/>
                <w:sz w:val="20"/>
                <w:szCs w:val="18"/>
              </w:rPr>
              <w:t>10,4</w:t>
            </w:r>
          </w:p>
        </w:tc>
        <w:tc>
          <w:tcPr>
            <w:tcW w:w="709" w:type="dxa"/>
            <w:vAlign w:val="center"/>
          </w:tcPr>
          <w:p w14:paraId="024CF3ED" w14:textId="1E34D24F" w:rsidR="004D41A6" w:rsidRPr="002964D2" w:rsidRDefault="004D41A6" w:rsidP="004D41A6">
            <w:pPr>
              <w:overflowPunct/>
              <w:autoSpaceDE/>
              <w:autoSpaceDN/>
              <w:adjustRightInd/>
              <w:jc w:val="right"/>
              <w:textAlignment w:val="auto"/>
              <w:rPr>
                <w:color w:val="000000" w:themeColor="text1"/>
                <w:sz w:val="20"/>
                <w:szCs w:val="18"/>
              </w:rPr>
            </w:pPr>
            <w:r>
              <w:rPr>
                <w:color w:val="000000" w:themeColor="text1"/>
                <w:sz w:val="20"/>
                <w:szCs w:val="18"/>
              </w:rPr>
              <w:t>11,5</w:t>
            </w:r>
          </w:p>
        </w:tc>
        <w:tc>
          <w:tcPr>
            <w:tcW w:w="708" w:type="dxa"/>
            <w:vAlign w:val="center"/>
          </w:tcPr>
          <w:p w14:paraId="5D368EC2" w14:textId="7C754E96" w:rsidR="004D41A6" w:rsidRPr="002964D2" w:rsidRDefault="004D41A6" w:rsidP="004D41A6">
            <w:pPr>
              <w:overflowPunct/>
              <w:autoSpaceDE/>
              <w:autoSpaceDN/>
              <w:adjustRightInd/>
              <w:jc w:val="right"/>
              <w:textAlignment w:val="auto"/>
              <w:rPr>
                <w:color w:val="000000" w:themeColor="text1"/>
                <w:sz w:val="20"/>
                <w:szCs w:val="18"/>
              </w:rPr>
            </w:pPr>
            <w:r>
              <w:rPr>
                <w:color w:val="000000" w:themeColor="text1"/>
                <w:sz w:val="20"/>
                <w:szCs w:val="18"/>
              </w:rPr>
              <w:t>11,7</w:t>
            </w:r>
          </w:p>
        </w:tc>
      </w:tr>
      <w:tr w:rsidR="004D41A6" w:rsidRPr="002964D2" w14:paraId="59256B77" w14:textId="77777777" w:rsidTr="002749A6">
        <w:trPr>
          <w:trHeight w:val="159"/>
        </w:trPr>
        <w:tc>
          <w:tcPr>
            <w:tcW w:w="4531" w:type="dxa"/>
            <w:vAlign w:val="center"/>
          </w:tcPr>
          <w:p w14:paraId="1B26E4AE" w14:textId="77777777" w:rsidR="004D41A6" w:rsidRPr="00C8060E" w:rsidRDefault="004D41A6" w:rsidP="004D41A6">
            <w:pPr>
              <w:overflowPunct/>
              <w:autoSpaceDE/>
              <w:autoSpaceDN/>
              <w:adjustRightInd/>
              <w:textAlignment w:val="auto"/>
              <w:rPr>
                <w:bCs/>
                <w:sz w:val="20"/>
                <w:vertAlign w:val="superscript"/>
              </w:rPr>
            </w:pPr>
            <w:r w:rsidRPr="00C8060E">
              <w:rPr>
                <w:bCs/>
                <w:sz w:val="20"/>
              </w:rPr>
              <w:t>Nettomenot (milj. €)</w:t>
            </w:r>
            <w:r w:rsidRPr="00C8060E">
              <w:rPr>
                <w:bCs/>
                <w:sz w:val="20"/>
                <w:vertAlign w:val="superscript"/>
              </w:rPr>
              <w:t>(1</w:t>
            </w:r>
          </w:p>
        </w:tc>
        <w:tc>
          <w:tcPr>
            <w:tcW w:w="709" w:type="dxa"/>
            <w:vAlign w:val="center"/>
          </w:tcPr>
          <w:p w14:paraId="3E1FB091" w14:textId="3CD4B112"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851" w:type="dxa"/>
            <w:vAlign w:val="center"/>
          </w:tcPr>
          <w:p w14:paraId="60C57DD8" w14:textId="16F8D2A1"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708" w:type="dxa"/>
          </w:tcPr>
          <w:p w14:paraId="1379B923" w14:textId="5AB2AE3C"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0,8</w:t>
            </w:r>
          </w:p>
        </w:tc>
        <w:tc>
          <w:tcPr>
            <w:tcW w:w="709" w:type="dxa"/>
          </w:tcPr>
          <w:p w14:paraId="3FC03C3F" w14:textId="25F7F2C6"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12,1</w:t>
            </w:r>
          </w:p>
        </w:tc>
        <w:tc>
          <w:tcPr>
            <w:tcW w:w="709" w:type="dxa"/>
          </w:tcPr>
          <w:p w14:paraId="4CD41022" w14:textId="2FDAC1FB"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16,5</w:t>
            </w:r>
          </w:p>
        </w:tc>
        <w:tc>
          <w:tcPr>
            <w:tcW w:w="709" w:type="dxa"/>
          </w:tcPr>
          <w:p w14:paraId="7E7BBA9F" w14:textId="08324B0F"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17,5</w:t>
            </w:r>
          </w:p>
        </w:tc>
        <w:tc>
          <w:tcPr>
            <w:tcW w:w="708" w:type="dxa"/>
          </w:tcPr>
          <w:p w14:paraId="6BB35088" w14:textId="2E8B5594"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17,5</w:t>
            </w:r>
          </w:p>
        </w:tc>
      </w:tr>
      <w:tr w:rsidR="004D41A6" w:rsidRPr="002964D2" w14:paraId="2E8977CB" w14:textId="77777777" w:rsidTr="002749A6">
        <w:tc>
          <w:tcPr>
            <w:tcW w:w="4531" w:type="dxa"/>
            <w:vAlign w:val="center"/>
          </w:tcPr>
          <w:p w14:paraId="0B988A07" w14:textId="77777777" w:rsidR="004D41A6" w:rsidRPr="00C8060E" w:rsidRDefault="004D41A6" w:rsidP="004D41A6">
            <w:pPr>
              <w:overflowPunct/>
              <w:autoSpaceDE/>
              <w:autoSpaceDN/>
              <w:adjustRightInd/>
              <w:textAlignment w:val="auto"/>
              <w:rPr>
                <w:bCs/>
                <w:sz w:val="20"/>
                <w:vertAlign w:val="superscript"/>
              </w:rPr>
            </w:pPr>
            <w:r w:rsidRPr="00C8060E">
              <w:rPr>
                <w:bCs/>
                <w:sz w:val="20"/>
              </w:rPr>
              <w:t>Myönnetty määräraha (milj. €)</w:t>
            </w:r>
            <w:r w:rsidRPr="00C8060E">
              <w:rPr>
                <w:bCs/>
                <w:sz w:val="20"/>
                <w:vertAlign w:val="superscript"/>
              </w:rPr>
              <w:t>(3</w:t>
            </w:r>
          </w:p>
        </w:tc>
        <w:tc>
          <w:tcPr>
            <w:tcW w:w="709" w:type="dxa"/>
            <w:vAlign w:val="center"/>
          </w:tcPr>
          <w:p w14:paraId="75F3E131" w14:textId="7E3C51E8"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851" w:type="dxa"/>
            <w:vAlign w:val="center"/>
          </w:tcPr>
          <w:p w14:paraId="28130CEA" w14:textId="2846E1F3"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708" w:type="dxa"/>
          </w:tcPr>
          <w:p w14:paraId="7DE32713" w14:textId="1B1298C5"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1,8</w:t>
            </w:r>
          </w:p>
        </w:tc>
        <w:tc>
          <w:tcPr>
            <w:tcW w:w="709" w:type="dxa"/>
          </w:tcPr>
          <w:p w14:paraId="0E5EFB57" w14:textId="20E90D77"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12,1</w:t>
            </w:r>
          </w:p>
        </w:tc>
        <w:tc>
          <w:tcPr>
            <w:tcW w:w="709" w:type="dxa"/>
          </w:tcPr>
          <w:p w14:paraId="6CDD00C2" w14:textId="17B2BB08"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17,0</w:t>
            </w:r>
          </w:p>
        </w:tc>
        <w:tc>
          <w:tcPr>
            <w:tcW w:w="709" w:type="dxa"/>
          </w:tcPr>
          <w:p w14:paraId="75730F9B" w14:textId="12F7EA8E"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17,5</w:t>
            </w:r>
          </w:p>
        </w:tc>
        <w:tc>
          <w:tcPr>
            <w:tcW w:w="708" w:type="dxa"/>
          </w:tcPr>
          <w:p w14:paraId="5A2A9455" w14:textId="0348E98B"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17,5</w:t>
            </w:r>
          </w:p>
        </w:tc>
      </w:tr>
      <w:tr w:rsidR="004D41A6" w:rsidRPr="002964D2" w14:paraId="312B8922" w14:textId="77777777" w:rsidTr="002749A6">
        <w:trPr>
          <w:trHeight w:val="60"/>
        </w:trPr>
        <w:tc>
          <w:tcPr>
            <w:tcW w:w="4531" w:type="dxa"/>
            <w:vAlign w:val="center"/>
          </w:tcPr>
          <w:p w14:paraId="6AC56456" w14:textId="77777777" w:rsidR="004D41A6" w:rsidRPr="00C8060E" w:rsidRDefault="004D41A6" w:rsidP="004D41A6">
            <w:pPr>
              <w:overflowPunct/>
              <w:autoSpaceDE/>
              <w:autoSpaceDN/>
              <w:adjustRightInd/>
              <w:textAlignment w:val="auto"/>
              <w:rPr>
                <w:bCs/>
                <w:sz w:val="20"/>
              </w:rPr>
            </w:pPr>
            <w:r w:rsidRPr="00C8060E">
              <w:rPr>
                <w:bCs/>
                <w:sz w:val="20"/>
              </w:rPr>
              <w:t>Siirtomääräkanta (31.12.)</w:t>
            </w:r>
          </w:p>
        </w:tc>
        <w:tc>
          <w:tcPr>
            <w:tcW w:w="709" w:type="dxa"/>
            <w:vAlign w:val="center"/>
          </w:tcPr>
          <w:p w14:paraId="31A71CEC" w14:textId="2CD9BEB9"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851" w:type="dxa"/>
            <w:vAlign w:val="center"/>
          </w:tcPr>
          <w:p w14:paraId="730D4FF0" w14:textId="36E329AA"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708" w:type="dxa"/>
          </w:tcPr>
          <w:p w14:paraId="60C0B1F5" w14:textId="0BC8C55B"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1,0</w:t>
            </w:r>
          </w:p>
        </w:tc>
        <w:tc>
          <w:tcPr>
            <w:tcW w:w="709" w:type="dxa"/>
          </w:tcPr>
          <w:p w14:paraId="5B77E2F0" w14:textId="4FCCB87C"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1,0</w:t>
            </w:r>
          </w:p>
        </w:tc>
        <w:tc>
          <w:tcPr>
            <w:tcW w:w="709" w:type="dxa"/>
          </w:tcPr>
          <w:p w14:paraId="2149F059" w14:textId="372E39D9"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1,5</w:t>
            </w:r>
          </w:p>
        </w:tc>
        <w:tc>
          <w:tcPr>
            <w:tcW w:w="709" w:type="dxa"/>
          </w:tcPr>
          <w:p w14:paraId="2C965409" w14:textId="302C4836"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1,5</w:t>
            </w:r>
          </w:p>
        </w:tc>
        <w:tc>
          <w:tcPr>
            <w:tcW w:w="708" w:type="dxa"/>
          </w:tcPr>
          <w:p w14:paraId="1E229E9C" w14:textId="46980FC4"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1,5</w:t>
            </w:r>
          </w:p>
        </w:tc>
      </w:tr>
      <w:tr w:rsidR="004D41A6" w:rsidRPr="002964D2" w14:paraId="2E5ADC40" w14:textId="77777777" w:rsidTr="002749A6">
        <w:trPr>
          <w:trHeight w:val="244"/>
        </w:trPr>
        <w:tc>
          <w:tcPr>
            <w:tcW w:w="4531" w:type="dxa"/>
            <w:vAlign w:val="center"/>
          </w:tcPr>
          <w:p w14:paraId="6E38BB9C" w14:textId="77777777" w:rsidR="004D41A6" w:rsidRPr="00C8060E" w:rsidRDefault="004D41A6" w:rsidP="004D41A6">
            <w:pPr>
              <w:overflowPunct/>
              <w:autoSpaceDE/>
              <w:autoSpaceDN/>
              <w:adjustRightInd/>
              <w:textAlignment w:val="auto"/>
              <w:rPr>
                <w:bCs/>
                <w:sz w:val="20"/>
              </w:rPr>
            </w:pPr>
            <w:r w:rsidRPr="00C8060E">
              <w:rPr>
                <w:bCs/>
                <w:sz w:val="20"/>
              </w:rPr>
              <w:t>Henkilötyömäärätarve (Htv)</w:t>
            </w:r>
          </w:p>
        </w:tc>
        <w:tc>
          <w:tcPr>
            <w:tcW w:w="709" w:type="dxa"/>
            <w:vAlign w:val="center"/>
          </w:tcPr>
          <w:p w14:paraId="11823CD8" w14:textId="1FA82FCA"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851" w:type="dxa"/>
            <w:vAlign w:val="center"/>
          </w:tcPr>
          <w:p w14:paraId="4C64F6F8" w14:textId="75C095E5"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708" w:type="dxa"/>
          </w:tcPr>
          <w:p w14:paraId="58637364" w14:textId="4DD62675"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10</w:t>
            </w:r>
          </w:p>
        </w:tc>
        <w:tc>
          <w:tcPr>
            <w:tcW w:w="709" w:type="dxa"/>
          </w:tcPr>
          <w:p w14:paraId="7A4EA15C" w14:textId="07EA3CC4"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49</w:t>
            </w:r>
          </w:p>
        </w:tc>
        <w:tc>
          <w:tcPr>
            <w:tcW w:w="709" w:type="dxa"/>
          </w:tcPr>
          <w:p w14:paraId="3591450D" w14:textId="229DFBE2"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61</w:t>
            </w:r>
          </w:p>
        </w:tc>
        <w:tc>
          <w:tcPr>
            <w:tcW w:w="709" w:type="dxa"/>
          </w:tcPr>
          <w:p w14:paraId="2112DCAA" w14:textId="7CF4DC84"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63</w:t>
            </w:r>
          </w:p>
        </w:tc>
        <w:tc>
          <w:tcPr>
            <w:tcW w:w="708" w:type="dxa"/>
          </w:tcPr>
          <w:p w14:paraId="6BA83089" w14:textId="5A413550"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63</w:t>
            </w:r>
          </w:p>
        </w:tc>
      </w:tr>
      <w:tr w:rsidR="004D41A6" w:rsidRPr="002964D2" w14:paraId="2BE79F28" w14:textId="77777777" w:rsidTr="002749A6">
        <w:tc>
          <w:tcPr>
            <w:tcW w:w="4531" w:type="dxa"/>
            <w:vAlign w:val="center"/>
          </w:tcPr>
          <w:p w14:paraId="6EC04D0D" w14:textId="77777777" w:rsidR="004D41A6" w:rsidRPr="00C8060E" w:rsidRDefault="004D41A6" w:rsidP="004D41A6">
            <w:pPr>
              <w:overflowPunct/>
              <w:autoSpaceDE/>
              <w:autoSpaceDN/>
              <w:adjustRightInd/>
              <w:textAlignment w:val="auto"/>
              <w:rPr>
                <w:bCs/>
                <w:sz w:val="20"/>
                <w:vertAlign w:val="superscript"/>
              </w:rPr>
            </w:pPr>
            <w:r w:rsidRPr="00C8060E">
              <w:rPr>
                <w:bCs/>
                <w:sz w:val="20"/>
              </w:rPr>
              <w:t>VM TUSO-HTV-tavoite (Htv)</w:t>
            </w:r>
            <w:r w:rsidRPr="00C8060E">
              <w:rPr>
                <w:bCs/>
                <w:sz w:val="20"/>
                <w:vertAlign w:val="superscript"/>
              </w:rPr>
              <w:t>(2</w:t>
            </w:r>
          </w:p>
        </w:tc>
        <w:tc>
          <w:tcPr>
            <w:tcW w:w="709" w:type="dxa"/>
            <w:vAlign w:val="center"/>
          </w:tcPr>
          <w:p w14:paraId="6258E8B4" w14:textId="2F77E8A7"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851" w:type="dxa"/>
            <w:vAlign w:val="center"/>
          </w:tcPr>
          <w:p w14:paraId="07E41A56" w14:textId="76FADE26" w:rsidR="004D41A6" w:rsidRPr="002964D2" w:rsidRDefault="004D41A6" w:rsidP="004D41A6">
            <w:pPr>
              <w:overflowPunct/>
              <w:autoSpaceDE/>
              <w:autoSpaceDN/>
              <w:adjustRightInd/>
              <w:jc w:val="right"/>
              <w:textAlignment w:val="auto"/>
              <w:rPr>
                <w:color w:val="000000" w:themeColor="text1"/>
                <w:sz w:val="20"/>
                <w:szCs w:val="18"/>
              </w:rPr>
            </w:pPr>
            <w:r w:rsidRPr="002964D2">
              <w:rPr>
                <w:color w:val="000000" w:themeColor="text1"/>
                <w:sz w:val="20"/>
                <w:szCs w:val="18"/>
              </w:rPr>
              <w:t>-</w:t>
            </w:r>
          </w:p>
        </w:tc>
        <w:tc>
          <w:tcPr>
            <w:tcW w:w="708" w:type="dxa"/>
          </w:tcPr>
          <w:p w14:paraId="54D2F9A8" w14:textId="7B9AA59A"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9</w:t>
            </w:r>
          </w:p>
        </w:tc>
        <w:tc>
          <w:tcPr>
            <w:tcW w:w="709" w:type="dxa"/>
          </w:tcPr>
          <w:p w14:paraId="3CC08683" w14:textId="26FD6222"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45</w:t>
            </w:r>
          </w:p>
        </w:tc>
        <w:tc>
          <w:tcPr>
            <w:tcW w:w="709" w:type="dxa"/>
          </w:tcPr>
          <w:p w14:paraId="40F51952" w14:textId="66C585FD"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55</w:t>
            </w:r>
          </w:p>
        </w:tc>
        <w:tc>
          <w:tcPr>
            <w:tcW w:w="709" w:type="dxa"/>
          </w:tcPr>
          <w:p w14:paraId="15D92E71" w14:textId="4739FFBF"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57</w:t>
            </w:r>
          </w:p>
        </w:tc>
        <w:tc>
          <w:tcPr>
            <w:tcW w:w="708" w:type="dxa"/>
          </w:tcPr>
          <w:p w14:paraId="47D75BC0" w14:textId="1FE8AEBF" w:rsidR="004D41A6" w:rsidRPr="002964D2" w:rsidRDefault="004D41A6" w:rsidP="004D41A6">
            <w:pPr>
              <w:overflowPunct/>
              <w:autoSpaceDE/>
              <w:autoSpaceDN/>
              <w:adjustRightInd/>
              <w:jc w:val="right"/>
              <w:textAlignment w:val="auto"/>
              <w:rPr>
                <w:color w:val="000000" w:themeColor="text1"/>
                <w:sz w:val="20"/>
                <w:szCs w:val="18"/>
              </w:rPr>
            </w:pPr>
            <w:r w:rsidRPr="00E540E7">
              <w:rPr>
                <w:sz w:val="20"/>
                <w:szCs w:val="18"/>
              </w:rPr>
              <w:t>57</w:t>
            </w:r>
          </w:p>
        </w:tc>
      </w:tr>
      <w:tr w:rsidR="002964D2" w:rsidRPr="002964D2" w14:paraId="7F1E7215" w14:textId="77777777" w:rsidTr="002749A6">
        <w:tc>
          <w:tcPr>
            <w:tcW w:w="4531" w:type="dxa"/>
            <w:shd w:val="clear" w:color="auto" w:fill="E5EFE5" w:themeFill="background2"/>
            <w:vAlign w:val="center"/>
          </w:tcPr>
          <w:p w14:paraId="13AFBF5A" w14:textId="77777777" w:rsidR="002749A6" w:rsidRDefault="002964D2" w:rsidP="002964D2">
            <w:pPr>
              <w:overflowPunct/>
              <w:autoSpaceDE/>
              <w:autoSpaceDN/>
              <w:adjustRightInd/>
              <w:textAlignment w:val="auto"/>
              <w:rPr>
                <w:b/>
                <w:sz w:val="20"/>
              </w:rPr>
            </w:pPr>
            <w:r w:rsidRPr="002964D2">
              <w:rPr>
                <w:b/>
                <w:sz w:val="20"/>
              </w:rPr>
              <w:t xml:space="preserve">Maksullisen toiminnan tulot </w:t>
            </w:r>
          </w:p>
          <w:p w14:paraId="23C9496E" w14:textId="35FBB085" w:rsidR="002964D2" w:rsidRPr="002749A6" w:rsidRDefault="002964D2" w:rsidP="002964D2">
            <w:pPr>
              <w:overflowPunct/>
              <w:autoSpaceDE/>
              <w:autoSpaceDN/>
              <w:adjustRightInd/>
              <w:textAlignment w:val="auto"/>
              <w:rPr>
                <w:bCs/>
                <w:sz w:val="20"/>
              </w:rPr>
            </w:pPr>
            <w:r w:rsidRPr="002749A6">
              <w:rPr>
                <w:bCs/>
                <w:sz w:val="20"/>
              </w:rPr>
              <w:t>(tuloutus valtiolle 100 %)</w:t>
            </w:r>
          </w:p>
        </w:tc>
        <w:tc>
          <w:tcPr>
            <w:tcW w:w="709" w:type="dxa"/>
            <w:shd w:val="clear" w:color="auto" w:fill="E5EFE5" w:themeFill="background2"/>
          </w:tcPr>
          <w:p w14:paraId="7C12CA9D" w14:textId="77777777" w:rsidR="002964D2" w:rsidRPr="002964D2" w:rsidRDefault="002964D2" w:rsidP="002964D2">
            <w:pPr>
              <w:overflowPunct/>
              <w:autoSpaceDE/>
              <w:autoSpaceDN/>
              <w:adjustRightInd/>
              <w:jc w:val="left"/>
              <w:textAlignment w:val="auto"/>
              <w:rPr>
                <w:b/>
                <w:sz w:val="20"/>
              </w:rPr>
            </w:pPr>
            <w:r w:rsidRPr="002964D2">
              <w:rPr>
                <w:b/>
                <w:sz w:val="20"/>
              </w:rPr>
              <w:t>2021</w:t>
            </w:r>
          </w:p>
          <w:p w14:paraId="77F3D813" w14:textId="77777777" w:rsidR="002964D2" w:rsidRPr="002964D2" w:rsidRDefault="002964D2" w:rsidP="002964D2">
            <w:pPr>
              <w:overflowPunct/>
              <w:autoSpaceDE/>
              <w:autoSpaceDN/>
              <w:adjustRightInd/>
              <w:jc w:val="left"/>
              <w:textAlignment w:val="auto"/>
              <w:rPr>
                <w:sz w:val="20"/>
                <w:szCs w:val="18"/>
              </w:rPr>
            </w:pPr>
            <w:r w:rsidRPr="002964D2">
              <w:rPr>
                <w:b/>
                <w:sz w:val="20"/>
              </w:rPr>
              <w:t>Tot.</w:t>
            </w:r>
          </w:p>
        </w:tc>
        <w:tc>
          <w:tcPr>
            <w:tcW w:w="851" w:type="dxa"/>
            <w:shd w:val="clear" w:color="auto" w:fill="E5EFE5" w:themeFill="background2"/>
          </w:tcPr>
          <w:p w14:paraId="60B55899" w14:textId="77777777" w:rsidR="002964D2" w:rsidRPr="002964D2" w:rsidRDefault="002964D2" w:rsidP="002964D2">
            <w:pPr>
              <w:overflowPunct/>
              <w:autoSpaceDE/>
              <w:autoSpaceDN/>
              <w:adjustRightInd/>
              <w:jc w:val="left"/>
              <w:textAlignment w:val="auto"/>
              <w:rPr>
                <w:b/>
                <w:sz w:val="20"/>
              </w:rPr>
            </w:pPr>
            <w:r w:rsidRPr="002964D2">
              <w:rPr>
                <w:b/>
                <w:sz w:val="20"/>
              </w:rPr>
              <w:t>2022</w:t>
            </w:r>
          </w:p>
          <w:p w14:paraId="2814BDA0" w14:textId="77777777" w:rsidR="002964D2" w:rsidRPr="002964D2" w:rsidRDefault="002964D2" w:rsidP="002964D2">
            <w:pPr>
              <w:overflowPunct/>
              <w:autoSpaceDE/>
              <w:autoSpaceDN/>
              <w:adjustRightInd/>
              <w:jc w:val="left"/>
              <w:textAlignment w:val="auto"/>
              <w:rPr>
                <w:sz w:val="20"/>
                <w:szCs w:val="18"/>
              </w:rPr>
            </w:pPr>
            <w:r w:rsidRPr="002964D2">
              <w:rPr>
                <w:b/>
                <w:sz w:val="20"/>
              </w:rPr>
              <w:t>Arvio</w:t>
            </w:r>
          </w:p>
        </w:tc>
        <w:tc>
          <w:tcPr>
            <w:tcW w:w="708" w:type="dxa"/>
            <w:shd w:val="clear" w:color="auto" w:fill="E5EFE5" w:themeFill="background2"/>
          </w:tcPr>
          <w:p w14:paraId="3EBB6703" w14:textId="77777777" w:rsidR="002964D2" w:rsidRPr="002964D2" w:rsidRDefault="002964D2" w:rsidP="002964D2">
            <w:pPr>
              <w:overflowPunct/>
              <w:autoSpaceDE/>
              <w:autoSpaceDN/>
              <w:adjustRightInd/>
              <w:jc w:val="left"/>
              <w:textAlignment w:val="auto"/>
              <w:rPr>
                <w:b/>
                <w:sz w:val="20"/>
              </w:rPr>
            </w:pPr>
            <w:r w:rsidRPr="002964D2">
              <w:rPr>
                <w:b/>
                <w:sz w:val="20"/>
              </w:rPr>
              <w:t>2023</w:t>
            </w:r>
          </w:p>
          <w:p w14:paraId="366BA74C" w14:textId="77777777" w:rsidR="002964D2" w:rsidRPr="002964D2" w:rsidRDefault="002964D2" w:rsidP="002964D2">
            <w:pPr>
              <w:overflowPunct/>
              <w:autoSpaceDE/>
              <w:autoSpaceDN/>
              <w:adjustRightInd/>
              <w:jc w:val="left"/>
              <w:textAlignment w:val="auto"/>
              <w:rPr>
                <w:sz w:val="20"/>
                <w:szCs w:val="18"/>
              </w:rPr>
            </w:pPr>
            <w:r w:rsidRPr="002964D2">
              <w:rPr>
                <w:b/>
                <w:sz w:val="20"/>
              </w:rPr>
              <w:t>TAE</w:t>
            </w:r>
          </w:p>
        </w:tc>
        <w:tc>
          <w:tcPr>
            <w:tcW w:w="709" w:type="dxa"/>
            <w:shd w:val="clear" w:color="auto" w:fill="E5EFE5" w:themeFill="background2"/>
          </w:tcPr>
          <w:p w14:paraId="5AFDD3D8" w14:textId="77777777" w:rsidR="002964D2" w:rsidRPr="002964D2" w:rsidRDefault="002964D2" w:rsidP="002964D2">
            <w:pPr>
              <w:overflowPunct/>
              <w:autoSpaceDE/>
              <w:autoSpaceDN/>
              <w:adjustRightInd/>
              <w:jc w:val="left"/>
              <w:textAlignment w:val="auto"/>
              <w:rPr>
                <w:b/>
                <w:sz w:val="20"/>
              </w:rPr>
            </w:pPr>
            <w:r w:rsidRPr="002964D2">
              <w:rPr>
                <w:b/>
                <w:sz w:val="20"/>
              </w:rPr>
              <w:t>2024</w:t>
            </w:r>
          </w:p>
          <w:p w14:paraId="56B4D903" w14:textId="77777777" w:rsidR="002964D2" w:rsidRPr="002964D2" w:rsidRDefault="002964D2" w:rsidP="002964D2">
            <w:pPr>
              <w:overflowPunct/>
              <w:autoSpaceDE/>
              <w:autoSpaceDN/>
              <w:adjustRightInd/>
              <w:jc w:val="left"/>
              <w:textAlignment w:val="auto"/>
              <w:rPr>
                <w:sz w:val="20"/>
                <w:szCs w:val="18"/>
              </w:rPr>
            </w:pPr>
            <w:r w:rsidRPr="002964D2">
              <w:rPr>
                <w:b/>
                <w:sz w:val="20"/>
              </w:rPr>
              <w:t>TTS</w:t>
            </w:r>
          </w:p>
        </w:tc>
        <w:tc>
          <w:tcPr>
            <w:tcW w:w="709" w:type="dxa"/>
            <w:shd w:val="clear" w:color="auto" w:fill="E5EFE5" w:themeFill="background2"/>
          </w:tcPr>
          <w:p w14:paraId="72F6363B" w14:textId="77777777" w:rsidR="002964D2" w:rsidRPr="002964D2" w:rsidRDefault="002964D2" w:rsidP="002964D2">
            <w:pPr>
              <w:overflowPunct/>
              <w:autoSpaceDE/>
              <w:autoSpaceDN/>
              <w:adjustRightInd/>
              <w:ind w:left="-526" w:firstLine="526"/>
              <w:jc w:val="left"/>
              <w:textAlignment w:val="auto"/>
              <w:rPr>
                <w:b/>
                <w:sz w:val="20"/>
              </w:rPr>
            </w:pPr>
            <w:r w:rsidRPr="002964D2">
              <w:rPr>
                <w:b/>
                <w:sz w:val="20"/>
              </w:rPr>
              <w:t>2025</w:t>
            </w:r>
          </w:p>
          <w:p w14:paraId="6A8B7615" w14:textId="77777777" w:rsidR="002964D2" w:rsidRPr="002964D2" w:rsidRDefault="002964D2" w:rsidP="002964D2">
            <w:pPr>
              <w:overflowPunct/>
              <w:autoSpaceDE/>
              <w:autoSpaceDN/>
              <w:adjustRightInd/>
              <w:jc w:val="left"/>
              <w:textAlignment w:val="auto"/>
              <w:rPr>
                <w:sz w:val="20"/>
                <w:szCs w:val="18"/>
              </w:rPr>
            </w:pPr>
            <w:r w:rsidRPr="002964D2">
              <w:rPr>
                <w:b/>
                <w:sz w:val="20"/>
              </w:rPr>
              <w:t>TTS</w:t>
            </w:r>
          </w:p>
        </w:tc>
        <w:tc>
          <w:tcPr>
            <w:tcW w:w="709" w:type="dxa"/>
            <w:shd w:val="clear" w:color="auto" w:fill="E5EFE5" w:themeFill="background2"/>
          </w:tcPr>
          <w:p w14:paraId="033DFF31" w14:textId="77777777" w:rsidR="002964D2" w:rsidRPr="002964D2" w:rsidRDefault="002964D2" w:rsidP="002964D2">
            <w:pPr>
              <w:overflowPunct/>
              <w:autoSpaceDE/>
              <w:autoSpaceDN/>
              <w:adjustRightInd/>
              <w:jc w:val="left"/>
              <w:textAlignment w:val="auto"/>
              <w:rPr>
                <w:b/>
                <w:sz w:val="20"/>
              </w:rPr>
            </w:pPr>
            <w:r w:rsidRPr="002964D2">
              <w:rPr>
                <w:b/>
                <w:sz w:val="20"/>
              </w:rPr>
              <w:t>2026</w:t>
            </w:r>
          </w:p>
          <w:p w14:paraId="7C739C11" w14:textId="77777777" w:rsidR="002964D2" w:rsidRPr="002964D2" w:rsidRDefault="002964D2" w:rsidP="002964D2">
            <w:pPr>
              <w:overflowPunct/>
              <w:autoSpaceDE/>
              <w:autoSpaceDN/>
              <w:adjustRightInd/>
              <w:jc w:val="left"/>
              <w:textAlignment w:val="auto"/>
              <w:rPr>
                <w:sz w:val="20"/>
                <w:szCs w:val="18"/>
              </w:rPr>
            </w:pPr>
            <w:r w:rsidRPr="002964D2">
              <w:rPr>
                <w:b/>
                <w:sz w:val="20"/>
              </w:rPr>
              <w:t>TTS</w:t>
            </w:r>
          </w:p>
        </w:tc>
        <w:tc>
          <w:tcPr>
            <w:tcW w:w="708" w:type="dxa"/>
            <w:shd w:val="clear" w:color="auto" w:fill="E5EFE5" w:themeFill="background2"/>
          </w:tcPr>
          <w:p w14:paraId="7A372AE4" w14:textId="77777777" w:rsidR="002964D2" w:rsidRPr="002964D2" w:rsidRDefault="002964D2" w:rsidP="002964D2">
            <w:pPr>
              <w:overflowPunct/>
              <w:autoSpaceDE/>
              <w:autoSpaceDN/>
              <w:adjustRightInd/>
              <w:jc w:val="left"/>
              <w:textAlignment w:val="auto"/>
              <w:rPr>
                <w:b/>
                <w:sz w:val="20"/>
              </w:rPr>
            </w:pPr>
            <w:r w:rsidRPr="002964D2">
              <w:rPr>
                <w:b/>
                <w:sz w:val="20"/>
              </w:rPr>
              <w:t>2027</w:t>
            </w:r>
          </w:p>
          <w:p w14:paraId="31756131" w14:textId="77777777" w:rsidR="002964D2" w:rsidRPr="002964D2" w:rsidRDefault="002964D2" w:rsidP="002964D2">
            <w:pPr>
              <w:overflowPunct/>
              <w:autoSpaceDE/>
              <w:autoSpaceDN/>
              <w:adjustRightInd/>
              <w:jc w:val="left"/>
              <w:textAlignment w:val="auto"/>
              <w:rPr>
                <w:sz w:val="20"/>
                <w:szCs w:val="18"/>
              </w:rPr>
            </w:pPr>
            <w:r w:rsidRPr="002964D2">
              <w:rPr>
                <w:b/>
                <w:sz w:val="20"/>
              </w:rPr>
              <w:t>TTS</w:t>
            </w:r>
          </w:p>
        </w:tc>
      </w:tr>
      <w:tr w:rsidR="004D41A6" w:rsidRPr="002964D2" w14:paraId="033678A0" w14:textId="77777777" w:rsidTr="0088397B">
        <w:trPr>
          <w:trHeight w:val="315"/>
        </w:trPr>
        <w:tc>
          <w:tcPr>
            <w:tcW w:w="4531" w:type="dxa"/>
            <w:vAlign w:val="center"/>
          </w:tcPr>
          <w:p w14:paraId="4E0B954D" w14:textId="77777777" w:rsidR="004D41A6" w:rsidRPr="00C8060E" w:rsidRDefault="004D41A6" w:rsidP="004D41A6">
            <w:pPr>
              <w:overflowPunct/>
              <w:autoSpaceDE/>
              <w:autoSpaceDN/>
              <w:adjustRightInd/>
              <w:textAlignment w:val="auto"/>
              <w:rPr>
                <w:bCs/>
                <w:sz w:val="20"/>
                <w:vertAlign w:val="superscript"/>
              </w:rPr>
            </w:pPr>
            <w:r w:rsidRPr="00C8060E">
              <w:rPr>
                <w:bCs/>
                <w:sz w:val="20"/>
              </w:rPr>
              <w:t>Mom. 12.28.xx</w:t>
            </w:r>
            <w:r w:rsidRPr="00C8060E">
              <w:rPr>
                <w:bCs/>
                <w:sz w:val="20"/>
                <w:vertAlign w:val="superscript"/>
              </w:rPr>
              <w:t>(3</w:t>
            </w:r>
          </w:p>
        </w:tc>
        <w:tc>
          <w:tcPr>
            <w:tcW w:w="709" w:type="dxa"/>
            <w:vAlign w:val="center"/>
          </w:tcPr>
          <w:p w14:paraId="2D6B869D" w14:textId="77777777" w:rsidR="004D41A6" w:rsidRPr="002964D2" w:rsidRDefault="004D41A6" w:rsidP="004D41A6">
            <w:pPr>
              <w:overflowPunct/>
              <w:autoSpaceDE/>
              <w:autoSpaceDN/>
              <w:adjustRightInd/>
              <w:jc w:val="right"/>
              <w:textAlignment w:val="auto"/>
              <w:rPr>
                <w:sz w:val="20"/>
                <w:szCs w:val="18"/>
              </w:rPr>
            </w:pPr>
            <w:r w:rsidRPr="002964D2">
              <w:rPr>
                <w:sz w:val="20"/>
                <w:szCs w:val="18"/>
              </w:rPr>
              <w:t>-</w:t>
            </w:r>
          </w:p>
        </w:tc>
        <w:tc>
          <w:tcPr>
            <w:tcW w:w="851" w:type="dxa"/>
            <w:vAlign w:val="center"/>
          </w:tcPr>
          <w:p w14:paraId="1117EE22" w14:textId="77777777" w:rsidR="004D41A6" w:rsidRPr="002964D2" w:rsidRDefault="004D41A6" w:rsidP="004D41A6">
            <w:pPr>
              <w:overflowPunct/>
              <w:autoSpaceDE/>
              <w:autoSpaceDN/>
              <w:adjustRightInd/>
              <w:jc w:val="right"/>
              <w:textAlignment w:val="auto"/>
              <w:rPr>
                <w:sz w:val="20"/>
                <w:szCs w:val="18"/>
              </w:rPr>
            </w:pPr>
            <w:r w:rsidRPr="002964D2">
              <w:rPr>
                <w:sz w:val="20"/>
                <w:szCs w:val="18"/>
              </w:rPr>
              <w:t>-</w:t>
            </w:r>
          </w:p>
        </w:tc>
        <w:tc>
          <w:tcPr>
            <w:tcW w:w="708" w:type="dxa"/>
            <w:vAlign w:val="center"/>
          </w:tcPr>
          <w:p w14:paraId="5E175190" w14:textId="77777777" w:rsidR="004D41A6" w:rsidRPr="002964D2" w:rsidRDefault="004D41A6" w:rsidP="004D41A6">
            <w:pPr>
              <w:overflowPunct/>
              <w:autoSpaceDE/>
              <w:autoSpaceDN/>
              <w:adjustRightInd/>
              <w:jc w:val="right"/>
              <w:textAlignment w:val="auto"/>
              <w:rPr>
                <w:sz w:val="20"/>
                <w:szCs w:val="18"/>
              </w:rPr>
            </w:pPr>
            <w:r w:rsidRPr="002964D2">
              <w:rPr>
                <w:sz w:val="20"/>
                <w:szCs w:val="18"/>
              </w:rPr>
              <w:t>-</w:t>
            </w:r>
          </w:p>
        </w:tc>
        <w:tc>
          <w:tcPr>
            <w:tcW w:w="709" w:type="dxa"/>
            <w:vAlign w:val="center"/>
          </w:tcPr>
          <w:p w14:paraId="3FA0D888" w14:textId="56B5CA63" w:rsidR="004D41A6" w:rsidRPr="002964D2" w:rsidRDefault="004D41A6" w:rsidP="004D41A6">
            <w:pPr>
              <w:overflowPunct/>
              <w:autoSpaceDE/>
              <w:autoSpaceDN/>
              <w:adjustRightInd/>
              <w:jc w:val="right"/>
              <w:textAlignment w:val="auto"/>
              <w:rPr>
                <w:sz w:val="20"/>
                <w:szCs w:val="18"/>
              </w:rPr>
            </w:pPr>
            <w:r>
              <w:rPr>
                <w:sz w:val="20"/>
                <w:szCs w:val="18"/>
              </w:rPr>
              <w:t>6,2</w:t>
            </w:r>
          </w:p>
        </w:tc>
        <w:tc>
          <w:tcPr>
            <w:tcW w:w="709" w:type="dxa"/>
            <w:vAlign w:val="center"/>
          </w:tcPr>
          <w:p w14:paraId="189F9D5E" w14:textId="13A6FFC4" w:rsidR="004D41A6" w:rsidRPr="002964D2" w:rsidRDefault="004D41A6" w:rsidP="004D41A6">
            <w:pPr>
              <w:overflowPunct/>
              <w:autoSpaceDE/>
              <w:autoSpaceDN/>
              <w:adjustRightInd/>
              <w:jc w:val="right"/>
              <w:textAlignment w:val="auto"/>
              <w:rPr>
                <w:sz w:val="20"/>
                <w:szCs w:val="18"/>
              </w:rPr>
            </w:pPr>
            <w:r>
              <w:rPr>
                <w:sz w:val="20"/>
                <w:szCs w:val="18"/>
              </w:rPr>
              <w:t>10,4</w:t>
            </w:r>
          </w:p>
        </w:tc>
        <w:tc>
          <w:tcPr>
            <w:tcW w:w="709" w:type="dxa"/>
            <w:vAlign w:val="center"/>
          </w:tcPr>
          <w:p w14:paraId="3E64EF52" w14:textId="331A9343" w:rsidR="004D41A6" w:rsidRPr="002964D2" w:rsidRDefault="004D41A6" w:rsidP="004D41A6">
            <w:pPr>
              <w:overflowPunct/>
              <w:autoSpaceDE/>
              <w:autoSpaceDN/>
              <w:adjustRightInd/>
              <w:jc w:val="right"/>
              <w:textAlignment w:val="auto"/>
              <w:rPr>
                <w:sz w:val="20"/>
                <w:szCs w:val="18"/>
              </w:rPr>
            </w:pPr>
            <w:r>
              <w:rPr>
                <w:sz w:val="20"/>
                <w:szCs w:val="18"/>
              </w:rPr>
              <w:t>11,5</w:t>
            </w:r>
          </w:p>
        </w:tc>
        <w:tc>
          <w:tcPr>
            <w:tcW w:w="708" w:type="dxa"/>
            <w:vAlign w:val="center"/>
          </w:tcPr>
          <w:p w14:paraId="413E0444" w14:textId="40DDD532" w:rsidR="004D41A6" w:rsidRPr="002964D2" w:rsidRDefault="004D41A6" w:rsidP="004D41A6">
            <w:pPr>
              <w:overflowPunct/>
              <w:autoSpaceDE/>
              <w:autoSpaceDN/>
              <w:adjustRightInd/>
              <w:jc w:val="right"/>
              <w:textAlignment w:val="auto"/>
              <w:rPr>
                <w:sz w:val="20"/>
                <w:szCs w:val="18"/>
              </w:rPr>
            </w:pPr>
            <w:r>
              <w:rPr>
                <w:sz w:val="20"/>
                <w:szCs w:val="18"/>
              </w:rPr>
              <w:t>11,7</w:t>
            </w:r>
          </w:p>
        </w:tc>
      </w:tr>
    </w:tbl>
    <w:p w14:paraId="7BA42BBD" w14:textId="642EFEE6" w:rsidR="0088397B" w:rsidRDefault="002964D2" w:rsidP="00EF7060">
      <w:pPr>
        <w:numPr>
          <w:ilvl w:val="0"/>
          <w:numId w:val="27"/>
        </w:numPr>
        <w:overflowPunct/>
        <w:autoSpaceDE/>
        <w:autoSpaceDN/>
        <w:adjustRightInd/>
        <w:textAlignment w:val="auto"/>
        <w:rPr>
          <w:i/>
          <w:iCs/>
          <w:sz w:val="18"/>
        </w:rPr>
      </w:pPr>
      <w:r w:rsidRPr="0088397B">
        <w:rPr>
          <w:i/>
          <w:iCs/>
          <w:sz w:val="18"/>
        </w:rPr>
        <w:t>Positiivisen luottotietorekisteritoiminnan konsernin sisäinen kehysraami perustuu 25.11.2021 VM:lle toimitettuun HE tarkennettuun investointiesitykseen</w:t>
      </w:r>
      <w:r w:rsidR="0088397B">
        <w:rPr>
          <w:i/>
          <w:iCs/>
          <w:sz w:val="18"/>
        </w:rPr>
        <w:t>.</w:t>
      </w:r>
    </w:p>
    <w:p w14:paraId="3004D9A7" w14:textId="52EA2542" w:rsidR="002964D2" w:rsidRPr="0088397B" w:rsidRDefault="002964D2" w:rsidP="00EF7060">
      <w:pPr>
        <w:numPr>
          <w:ilvl w:val="0"/>
          <w:numId w:val="27"/>
        </w:numPr>
        <w:overflowPunct/>
        <w:autoSpaceDE/>
        <w:autoSpaceDN/>
        <w:adjustRightInd/>
        <w:textAlignment w:val="auto"/>
        <w:rPr>
          <w:i/>
          <w:iCs/>
          <w:sz w:val="18"/>
        </w:rPr>
      </w:pPr>
      <w:r w:rsidRPr="0088397B">
        <w:rPr>
          <w:i/>
          <w:iCs/>
          <w:sz w:val="18"/>
        </w:rPr>
        <w:t>TUSO-HTV-tavoitteessa on huomioitu alentavana eränä Tulorekisteriyksikön henkilötyön ostot Verohallinnon muista yksiköistä ostopalveluna (menolaskelmassa huomioituina asiantuntijapalveluiden ostomenoina).</w:t>
      </w:r>
    </w:p>
    <w:p w14:paraId="436B8D53" w14:textId="08ABB1C1" w:rsidR="002964D2" w:rsidRPr="0088397B" w:rsidRDefault="002964D2" w:rsidP="00EF7060">
      <w:pPr>
        <w:numPr>
          <w:ilvl w:val="0"/>
          <w:numId w:val="27"/>
        </w:numPr>
        <w:overflowPunct/>
        <w:autoSpaceDE/>
        <w:autoSpaceDN/>
        <w:adjustRightInd/>
        <w:textAlignment w:val="auto"/>
        <w:rPr>
          <w:color w:val="000000" w:themeColor="text1"/>
          <w:sz w:val="18"/>
        </w:rPr>
      </w:pPr>
      <w:r w:rsidRPr="0088397B">
        <w:rPr>
          <w:i/>
          <w:iCs/>
          <w:sz w:val="18"/>
        </w:rPr>
        <w:t>M</w:t>
      </w:r>
      <w:bookmarkStart w:id="22" w:name="_Hlk115183951"/>
      <w:r w:rsidRPr="0088397B">
        <w:rPr>
          <w:i/>
          <w:iCs/>
          <w:sz w:val="18"/>
        </w:rPr>
        <w:t xml:space="preserve">äärärahatarve talousarviorahoituksena ilman erillisrahoitushankkeita ja ilman maksullisen toiminnan tuloja, jotka ovat huomioituna </w:t>
      </w:r>
      <w:r w:rsidRPr="0088397B">
        <w:rPr>
          <w:i/>
          <w:iCs/>
          <w:sz w:val="18"/>
          <w:u w:val="single"/>
        </w:rPr>
        <w:t>tuloutuksena valtiolle 100 %:sti uudelle perustettavalle tulomomentille</w:t>
      </w:r>
      <w:r w:rsidRPr="0088397B">
        <w:rPr>
          <w:i/>
          <w:iCs/>
          <w:sz w:val="18"/>
        </w:rPr>
        <w:t xml:space="preserve">. </w:t>
      </w:r>
      <w:bookmarkEnd w:id="22"/>
    </w:p>
    <w:p w14:paraId="0F5FF418" w14:textId="0F5F6B7A" w:rsidR="002964D2" w:rsidRPr="002964D2" w:rsidRDefault="002964D2" w:rsidP="00C8060E">
      <w:pPr>
        <w:pStyle w:val="Otsikko2"/>
        <w:rPr>
          <w:color w:val="000000" w:themeColor="text1"/>
        </w:rPr>
      </w:pPr>
      <w:bookmarkStart w:id="23" w:name="_Toc116560499"/>
      <w:r w:rsidRPr="002964D2">
        <w:t>Verohallinnon henkilötyövuosikehity</w:t>
      </w:r>
      <w:r w:rsidR="00C8060E">
        <w:t>s</w:t>
      </w:r>
      <w:r w:rsidRPr="002964D2">
        <w:t xml:space="preserve"> kehyska</w:t>
      </w:r>
      <w:r w:rsidRPr="002964D2">
        <w:rPr>
          <w:color w:val="000000" w:themeColor="text1"/>
        </w:rPr>
        <w:t>udella</w:t>
      </w:r>
      <w:bookmarkEnd w:id="23"/>
    </w:p>
    <w:p w14:paraId="6CE50E5B" w14:textId="3C71A871" w:rsidR="00801041" w:rsidRDefault="00C0710D" w:rsidP="00C0710D">
      <w:pPr>
        <w:overflowPunct/>
        <w:autoSpaceDE/>
        <w:autoSpaceDN/>
        <w:adjustRightInd/>
        <w:textAlignment w:val="auto"/>
      </w:pPr>
      <w:r w:rsidRPr="002964D2">
        <w:t xml:space="preserve">Henkilötyömäärätavoitteissa on huomioitu </w:t>
      </w:r>
      <w:r w:rsidR="000611B9">
        <w:t>uudet tehtävät, osaamisen kehittämisen koulutusohjelma ja verotusprosessien virtaviivaistamis</w:t>
      </w:r>
      <w:r w:rsidR="00801041">
        <w:t xml:space="preserve">hanke. </w:t>
      </w:r>
    </w:p>
    <w:p w14:paraId="613A7E16" w14:textId="77777777" w:rsidR="00C0710D" w:rsidRPr="002964D2" w:rsidRDefault="00C0710D" w:rsidP="00C0710D">
      <w:pPr>
        <w:overflowPunct/>
        <w:autoSpaceDE/>
        <w:autoSpaceDN/>
        <w:adjustRightInd/>
        <w:textAlignment w:val="auto"/>
      </w:pPr>
    </w:p>
    <w:p w14:paraId="1C040862" w14:textId="50FC6EB4" w:rsidR="00C0710D" w:rsidRPr="002964D2" w:rsidRDefault="006443E0" w:rsidP="00C0710D">
      <w:pPr>
        <w:overflowPunct/>
        <w:autoSpaceDE/>
        <w:autoSpaceDN/>
        <w:adjustRightInd/>
        <w:textAlignment w:val="auto"/>
      </w:pPr>
      <w:r>
        <w:t>Tulorekisteriyksikön</w:t>
      </w:r>
      <w:r w:rsidR="00C0710D" w:rsidRPr="002964D2">
        <w:t xml:space="preserve"> kasvavat henkilötyömäärätarpeet perustuvat kehyskaudella käyttöönotettavan positiivisen luottotietorekisterin tuotannon perustoiminnan käynnistymiseen.</w:t>
      </w:r>
    </w:p>
    <w:p w14:paraId="71967FB0" w14:textId="77777777" w:rsidR="001E0A99" w:rsidRDefault="001E0A99" w:rsidP="009E264F">
      <w:pPr>
        <w:overflowPunct/>
        <w:autoSpaceDE/>
        <w:autoSpaceDN/>
        <w:adjustRightInd/>
        <w:textAlignment w:val="auto"/>
        <w:rPr>
          <w:b/>
          <w:sz w:val="20"/>
        </w:rPr>
      </w:pPr>
    </w:p>
    <w:p w14:paraId="6B7B7646" w14:textId="3DCEEB17" w:rsidR="009E264F" w:rsidRDefault="009E264F" w:rsidP="009E264F">
      <w:pPr>
        <w:overflowPunct/>
        <w:autoSpaceDE/>
        <w:autoSpaceDN/>
        <w:adjustRightInd/>
        <w:textAlignment w:val="auto"/>
        <w:rPr>
          <w:b/>
          <w:sz w:val="20"/>
        </w:rPr>
      </w:pPr>
      <w:r w:rsidRPr="00B52016">
        <w:rPr>
          <w:b/>
          <w:sz w:val="20"/>
        </w:rPr>
        <w:t xml:space="preserve">Taulukko 7. Verohallinnon henkilötyötarve vuosina 2021–2027 </w:t>
      </w:r>
      <w:r w:rsidRPr="0088397B">
        <w:rPr>
          <w:bCs/>
          <w:sz w:val="20"/>
        </w:rPr>
        <w:t xml:space="preserve">(tilanne </w:t>
      </w:r>
      <w:r w:rsidR="00CC48F7" w:rsidRPr="0088397B">
        <w:rPr>
          <w:bCs/>
          <w:sz w:val="20"/>
        </w:rPr>
        <w:t>11</w:t>
      </w:r>
      <w:r w:rsidRPr="0088397B">
        <w:rPr>
          <w:bCs/>
          <w:sz w:val="20"/>
        </w:rPr>
        <w:t>.10.2022).</w:t>
      </w:r>
    </w:p>
    <w:p w14:paraId="461DB11D" w14:textId="77777777" w:rsidR="0088397B" w:rsidRDefault="0088397B" w:rsidP="009E264F">
      <w:pPr>
        <w:overflowPunct/>
        <w:autoSpaceDE/>
        <w:autoSpaceDN/>
        <w:adjustRightInd/>
        <w:textAlignment w:val="auto"/>
        <w:rPr>
          <w:b/>
          <w:sz w:val="20"/>
        </w:rPr>
      </w:pPr>
    </w:p>
    <w:tbl>
      <w:tblPr>
        <w:tblStyle w:val="TaulukkoRuudukko1"/>
        <w:tblW w:w="9635" w:type="dxa"/>
        <w:tblLook w:val="04A0" w:firstRow="1" w:lastRow="0" w:firstColumn="1" w:lastColumn="0" w:noHBand="0" w:noVBand="1"/>
      </w:tblPr>
      <w:tblGrid>
        <w:gridCol w:w="4357"/>
        <w:gridCol w:w="754"/>
        <w:gridCol w:w="754"/>
        <w:gridCol w:w="754"/>
        <w:gridCol w:w="754"/>
        <w:gridCol w:w="754"/>
        <w:gridCol w:w="754"/>
        <w:gridCol w:w="754"/>
      </w:tblGrid>
      <w:tr w:rsidR="002964D2" w:rsidRPr="002964D2" w14:paraId="7BE2A1E0" w14:textId="77777777" w:rsidTr="004D5BF0">
        <w:trPr>
          <w:trHeight w:val="268"/>
          <w:tblHeader/>
        </w:trPr>
        <w:tc>
          <w:tcPr>
            <w:tcW w:w="4357" w:type="dxa"/>
            <w:shd w:val="clear" w:color="auto" w:fill="E5EFE5" w:themeFill="background2"/>
            <w:vAlign w:val="center"/>
          </w:tcPr>
          <w:p w14:paraId="0057ED81" w14:textId="77777777" w:rsidR="002964D2" w:rsidRPr="002964D2" w:rsidRDefault="002964D2" w:rsidP="002964D2">
            <w:pPr>
              <w:overflowPunct/>
              <w:autoSpaceDE/>
              <w:autoSpaceDN/>
              <w:adjustRightInd/>
              <w:textAlignment w:val="auto"/>
              <w:rPr>
                <w:b/>
                <w:sz w:val="20"/>
              </w:rPr>
            </w:pPr>
            <w:r w:rsidRPr="002964D2">
              <w:rPr>
                <w:b/>
                <w:sz w:val="20"/>
              </w:rPr>
              <w:t>Henkilötyömäärätarve</w:t>
            </w:r>
          </w:p>
        </w:tc>
        <w:tc>
          <w:tcPr>
            <w:tcW w:w="754" w:type="dxa"/>
            <w:shd w:val="clear" w:color="auto" w:fill="E5EFE5" w:themeFill="background2"/>
            <w:vAlign w:val="center"/>
          </w:tcPr>
          <w:p w14:paraId="483F108E" w14:textId="77777777" w:rsidR="002964D2" w:rsidRPr="002964D2" w:rsidRDefault="002964D2" w:rsidP="002964D2">
            <w:pPr>
              <w:overflowPunct/>
              <w:autoSpaceDE/>
              <w:autoSpaceDN/>
              <w:adjustRightInd/>
              <w:textAlignment w:val="auto"/>
              <w:rPr>
                <w:b/>
                <w:sz w:val="20"/>
              </w:rPr>
            </w:pPr>
            <w:r w:rsidRPr="002964D2">
              <w:rPr>
                <w:b/>
                <w:sz w:val="20"/>
              </w:rPr>
              <w:t>2021</w:t>
            </w:r>
          </w:p>
        </w:tc>
        <w:tc>
          <w:tcPr>
            <w:tcW w:w="754" w:type="dxa"/>
            <w:shd w:val="clear" w:color="auto" w:fill="E5EFE5" w:themeFill="background2"/>
            <w:vAlign w:val="center"/>
          </w:tcPr>
          <w:p w14:paraId="366AF540" w14:textId="77777777" w:rsidR="002964D2" w:rsidRPr="002964D2" w:rsidRDefault="002964D2" w:rsidP="002964D2">
            <w:pPr>
              <w:overflowPunct/>
              <w:autoSpaceDE/>
              <w:autoSpaceDN/>
              <w:adjustRightInd/>
              <w:textAlignment w:val="auto"/>
              <w:rPr>
                <w:b/>
                <w:sz w:val="20"/>
              </w:rPr>
            </w:pPr>
            <w:r w:rsidRPr="002964D2">
              <w:rPr>
                <w:b/>
                <w:sz w:val="20"/>
              </w:rPr>
              <w:t>2022</w:t>
            </w:r>
          </w:p>
        </w:tc>
        <w:tc>
          <w:tcPr>
            <w:tcW w:w="754" w:type="dxa"/>
            <w:shd w:val="clear" w:color="auto" w:fill="E5EFE5" w:themeFill="background2"/>
            <w:vAlign w:val="center"/>
          </w:tcPr>
          <w:p w14:paraId="404F5C0F" w14:textId="77777777" w:rsidR="002964D2" w:rsidRPr="002964D2" w:rsidRDefault="002964D2" w:rsidP="002964D2">
            <w:pPr>
              <w:overflowPunct/>
              <w:autoSpaceDE/>
              <w:autoSpaceDN/>
              <w:adjustRightInd/>
              <w:textAlignment w:val="auto"/>
              <w:rPr>
                <w:b/>
                <w:sz w:val="20"/>
              </w:rPr>
            </w:pPr>
            <w:r w:rsidRPr="002964D2">
              <w:rPr>
                <w:b/>
                <w:sz w:val="20"/>
              </w:rPr>
              <w:t>2023</w:t>
            </w:r>
          </w:p>
        </w:tc>
        <w:tc>
          <w:tcPr>
            <w:tcW w:w="754" w:type="dxa"/>
            <w:shd w:val="clear" w:color="auto" w:fill="E5EFE5" w:themeFill="background2"/>
            <w:vAlign w:val="center"/>
          </w:tcPr>
          <w:p w14:paraId="3F8B940D" w14:textId="77777777" w:rsidR="002964D2" w:rsidRPr="002964D2" w:rsidRDefault="002964D2" w:rsidP="002964D2">
            <w:pPr>
              <w:overflowPunct/>
              <w:autoSpaceDE/>
              <w:autoSpaceDN/>
              <w:adjustRightInd/>
              <w:textAlignment w:val="auto"/>
              <w:rPr>
                <w:b/>
                <w:sz w:val="20"/>
              </w:rPr>
            </w:pPr>
            <w:r w:rsidRPr="002964D2">
              <w:rPr>
                <w:b/>
                <w:sz w:val="20"/>
              </w:rPr>
              <w:t>2024</w:t>
            </w:r>
          </w:p>
        </w:tc>
        <w:tc>
          <w:tcPr>
            <w:tcW w:w="754" w:type="dxa"/>
            <w:shd w:val="clear" w:color="auto" w:fill="E5EFE5" w:themeFill="background2"/>
            <w:vAlign w:val="center"/>
          </w:tcPr>
          <w:p w14:paraId="68BB8013" w14:textId="77777777" w:rsidR="002964D2" w:rsidRPr="002964D2" w:rsidRDefault="002964D2" w:rsidP="002964D2">
            <w:pPr>
              <w:overflowPunct/>
              <w:autoSpaceDE/>
              <w:autoSpaceDN/>
              <w:adjustRightInd/>
              <w:textAlignment w:val="auto"/>
              <w:rPr>
                <w:b/>
                <w:sz w:val="20"/>
              </w:rPr>
            </w:pPr>
            <w:r w:rsidRPr="002964D2">
              <w:rPr>
                <w:b/>
                <w:sz w:val="20"/>
              </w:rPr>
              <w:t>2025</w:t>
            </w:r>
          </w:p>
        </w:tc>
        <w:tc>
          <w:tcPr>
            <w:tcW w:w="754" w:type="dxa"/>
            <w:shd w:val="clear" w:color="auto" w:fill="E5EFE5" w:themeFill="background2"/>
            <w:vAlign w:val="center"/>
          </w:tcPr>
          <w:p w14:paraId="7C2D526F" w14:textId="77777777" w:rsidR="002964D2" w:rsidRPr="002964D2" w:rsidRDefault="002964D2" w:rsidP="002964D2">
            <w:pPr>
              <w:overflowPunct/>
              <w:autoSpaceDE/>
              <w:autoSpaceDN/>
              <w:adjustRightInd/>
              <w:textAlignment w:val="auto"/>
              <w:rPr>
                <w:b/>
                <w:sz w:val="20"/>
              </w:rPr>
            </w:pPr>
            <w:r w:rsidRPr="002964D2">
              <w:rPr>
                <w:b/>
                <w:sz w:val="20"/>
              </w:rPr>
              <w:t>2026</w:t>
            </w:r>
          </w:p>
        </w:tc>
        <w:tc>
          <w:tcPr>
            <w:tcW w:w="754" w:type="dxa"/>
            <w:shd w:val="clear" w:color="auto" w:fill="E5EFE5" w:themeFill="background2"/>
            <w:vAlign w:val="center"/>
          </w:tcPr>
          <w:p w14:paraId="71C05DFD" w14:textId="77777777" w:rsidR="002964D2" w:rsidRPr="002964D2" w:rsidRDefault="002964D2" w:rsidP="002964D2">
            <w:pPr>
              <w:overflowPunct/>
              <w:autoSpaceDE/>
              <w:autoSpaceDN/>
              <w:adjustRightInd/>
              <w:textAlignment w:val="auto"/>
              <w:rPr>
                <w:b/>
                <w:sz w:val="20"/>
              </w:rPr>
            </w:pPr>
            <w:r w:rsidRPr="002964D2">
              <w:rPr>
                <w:b/>
                <w:sz w:val="20"/>
              </w:rPr>
              <w:t>2027</w:t>
            </w:r>
          </w:p>
        </w:tc>
      </w:tr>
      <w:tr w:rsidR="004D41A6" w:rsidRPr="002964D2" w14:paraId="6F1ADF49" w14:textId="77777777" w:rsidTr="008E45D5">
        <w:trPr>
          <w:trHeight w:val="334"/>
        </w:trPr>
        <w:tc>
          <w:tcPr>
            <w:tcW w:w="4357" w:type="dxa"/>
            <w:vAlign w:val="center"/>
          </w:tcPr>
          <w:p w14:paraId="40690F07" w14:textId="42F21055" w:rsidR="004D41A6" w:rsidRPr="002964D2" w:rsidRDefault="004D41A6" w:rsidP="004D41A6">
            <w:pPr>
              <w:overflowPunct/>
              <w:autoSpaceDE/>
              <w:autoSpaceDN/>
              <w:adjustRightInd/>
              <w:textAlignment w:val="auto"/>
              <w:rPr>
                <w:sz w:val="20"/>
                <w:vertAlign w:val="superscript"/>
              </w:rPr>
            </w:pPr>
            <w:r w:rsidRPr="002964D2">
              <w:rPr>
                <w:sz w:val="20"/>
              </w:rPr>
              <w:t>Verotustoiminta</w:t>
            </w:r>
            <w:r w:rsidR="001C55E7">
              <w:rPr>
                <w:sz w:val="20"/>
              </w:rPr>
              <w:t xml:space="preserve"> </w:t>
            </w:r>
            <w:r w:rsidR="00386490" w:rsidRPr="002964D2">
              <w:rPr>
                <w:sz w:val="20"/>
                <w:vertAlign w:val="superscript"/>
              </w:rPr>
              <w:t>(</w:t>
            </w:r>
            <w:r w:rsidR="00386490">
              <w:rPr>
                <w:sz w:val="20"/>
                <w:vertAlign w:val="superscript"/>
              </w:rPr>
              <w:t>1</w:t>
            </w:r>
          </w:p>
        </w:tc>
        <w:tc>
          <w:tcPr>
            <w:tcW w:w="754" w:type="dxa"/>
            <w:vAlign w:val="center"/>
          </w:tcPr>
          <w:p w14:paraId="197254BD" w14:textId="53D95B9D" w:rsidR="004D41A6" w:rsidRPr="00A660E4" w:rsidRDefault="004D41A6" w:rsidP="004D41A6">
            <w:pPr>
              <w:overflowPunct/>
              <w:autoSpaceDE/>
              <w:autoSpaceDN/>
              <w:adjustRightInd/>
              <w:jc w:val="right"/>
              <w:textAlignment w:val="auto"/>
              <w:rPr>
                <w:color w:val="000000" w:themeColor="text1"/>
                <w:sz w:val="20"/>
                <w:szCs w:val="18"/>
              </w:rPr>
            </w:pPr>
            <w:r w:rsidRPr="00A660E4">
              <w:rPr>
                <w:sz w:val="20"/>
                <w:szCs w:val="18"/>
              </w:rPr>
              <w:t>4 931</w:t>
            </w:r>
          </w:p>
        </w:tc>
        <w:tc>
          <w:tcPr>
            <w:tcW w:w="754" w:type="dxa"/>
            <w:vAlign w:val="center"/>
          </w:tcPr>
          <w:p w14:paraId="52299E4A" w14:textId="126B1FCE" w:rsidR="004D41A6" w:rsidRPr="00A660E4" w:rsidRDefault="004D41A6" w:rsidP="004D41A6">
            <w:pPr>
              <w:overflowPunct/>
              <w:autoSpaceDE/>
              <w:autoSpaceDN/>
              <w:adjustRightInd/>
              <w:jc w:val="right"/>
              <w:textAlignment w:val="auto"/>
              <w:rPr>
                <w:color w:val="000000" w:themeColor="text1"/>
                <w:sz w:val="20"/>
                <w:szCs w:val="18"/>
              </w:rPr>
            </w:pPr>
            <w:r w:rsidRPr="00A660E4">
              <w:rPr>
                <w:sz w:val="20"/>
                <w:szCs w:val="18"/>
              </w:rPr>
              <w:t>5 027</w:t>
            </w:r>
          </w:p>
        </w:tc>
        <w:tc>
          <w:tcPr>
            <w:tcW w:w="754" w:type="dxa"/>
            <w:vAlign w:val="center"/>
          </w:tcPr>
          <w:p w14:paraId="21AA6F9A" w14:textId="21884DDA" w:rsidR="004D41A6" w:rsidRPr="00A660E4" w:rsidRDefault="004D41A6" w:rsidP="004D41A6">
            <w:pPr>
              <w:overflowPunct/>
              <w:autoSpaceDE/>
              <w:autoSpaceDN/>
              <w:adjustRightInd/>
              <w:jc w:val="right"/>
              <w:textAlignment w:val="auto"/>
              <w:rPr>
                <w:color w:val="FF0000"/>
                <w:sz w:val="20"/>
                <w:szCs w:val="18"/>
              </w:rPr>
            </w:pPr>
            <w:r w:rsidRPr="00A660E4">
              <w:rPr>
                <w:sz w:val="20"/>
                <w:szCs w:val="18"/>
              </w:rPr>
              <w:t xml:space="preserve">5 </w:t>
            </w:r>
            <w:r w:rsidR="00A660E4" w:rsidRPr="00A660E4">
              <w:rPr>
                <w:sz w:val="20"/>
                <w:szCs w:val="18"/>
              </w:rPr>
              <w:t>127</w:t>
            </w:r>
          </w:p>
        </w:tc>
        <w:tc>
          <w:tcPr>
            <w:tcW w:w="754" w:type="dxa"/>
            <w:vAlign w:val="center"/>
          </w:tcPr>
          <w:p w14:paraId="22881DF2" w14:textId="234CFB4A" w:rsidR="004D41A6" w:rsidRPr="00A660E4" w:rsidRDefault="00A660E4" w:rsidP="004D41A6">
            <w:pPr>
              <w:overflowPunct/>
              <w:autoSpaceDE/>
              <w:autoSpaceDN/>
              <w:adjustRightInd/>
              <w:jc w:val="right"/>
              <w:textAlignment w:val="auto"/>
              <w:rPr>
                <w:color w:val="FF0000"/>
                <w:sz w:val="20"/>
                <w:szCs w:val="18"/>
              </w:rPr>
            </w:pPr>
            <w:r w:rsidRPr="00A660E4">
              <w:rPr>
                <w:sz w:val="20"/>
                <w:szCs w:val="18"/>
              </w:rPr>
              <w:t>5 081</w:t>
            </w:r>
          </w:p>
        </w:tc>
        <w:tc>
          <w:tcPr>
            <w:tcW w:w="754" w:type="dxa"/>
            <w:vAlign w:val="center"/>
          </w:tcPr>
          <w:p w14:paraId="5AF18CD4" w14:textId="4FD3A98E" w:rsidR="004D41A6" w:rsidRPr="00A660E4" w:rsidRDefault="004D41A6" w:rsidP="004D41A6">
            <w:pPr>
              <w:overflowPunct/>
              <w:autoSpaceDE/>
              <w:autoSpaceDN/>
              <w:adjustRightInd/>
              <w:jc w:val="right"/>
              <w:textAlignment w:val="auto"/>
              <w:rPr>
                <w:color w:val="FF0000"/>
                <w:sz w:val="20"/>
                <w:szCs w:val="18"/>
              </w:rPr>
            </w:pPr>
            <w:r w:rsidRPr="00A660E4">
              <w:rPr>
                <w:sz w:val="20"/>
                <w:szCs w:val="18"/>
              </w:rPr>
              <w:t xml:space="preserve">4 </w:t>
            </w:r>
            <w:r w:rsidR="00A660E4" w:rsidRPr="00A660E4">
              <w:rPr>
                <w:sz w:val="20"/>
                <w:szCs w:val="18"/>
              </w:rPr>
              <w:t>913</w:t>
            </w:r>
          </w:p>
        </w:tc>
        <w:tc>
          <w:tcPr>
            <w:tcW w:w="754" w:type="dxa"/>
            <w:vAlign w:val="center"/>
          </w:tcPr>
          <w:p w14:paraId="7FB47887" w14:textId="0F3B56D3" w:rsidR="004D41A6" w:rsidRPr="00A660E4" w:rsidRDefault="004D41A6" w:rsidP="004D41A6">
            <w:pPr>
              <w:overflowPunct/>
              <w:autoSpaceDE/>
              <w:autoSpaceDN/>
              <w:adjustRightInd/>
              <w:jc w:val="right"/>
              <w:textAlignment w:val="auto"/>
              <w:rPr>
                <w:color w:val="FF0000"/>
                <w:sz w:val="20"/>
                <w:szCs w:val="18"/>
              </w:rPr>
            </w:pPr>
            <w:r w:rsidRPr="00A660E4">
              <w:rPr>
                <w:sz w:val="20"/>
                <w:szCs w:val="18"/>
              </w:rPr>
              <w:t xml:space="preserve">4 </w:t>
            </w:r>
            <w:r w:rsidR="00A660E4" w:rsidRPr="00A660E4">
              <w:rPr>
                <w:sz w:val="20"/>
                <w:szCs w:val="18"/>
              </w:rPr>
              <w:t>743</w:t>
            </w:r>
          </w:p>
        </w:tc>
        <w:tc>
          <w:tcPr>
            <w:tcW w:w="754" w:type="dxa"/>
            <w:vAlign w:val="center"/>
          </w:tcPr>
          <w:p w14:paraId="4980D93D" w14:textId="7E04414B" w:rsidR="004D41A6" w:rsidRPr="00A660E4" w:rsidRDefault="004D41A6" w:rsidP="004D41A6">
            <w:pPr>
              <w:overflowPunct/>
              <w:autoSpaceDE/>
              <w:autoSpaceDN/>
              <w:adjustRightInd/>
              <w:jc w:val="right"/>
              <w:textAlignment w:val="auto"/>
              <w:rPr>
                <w:color w:val="FF0000"/>
                <w:sz w:val="20"/>
                <w:szCs w:val="18"/>
              </w:rPr>
            </w:pPr>
            <w:r w:rsidRPr="00A660E4">
              <w:rPr>
                <w:sz w:val="20"/>
                <w:szCs w:val="18"/>
              </w:rPr>
              <w:t xml:space="preserve">4 </w:t>
            </w:r>
            <w:r w:rsidR="00A660E4" w:rsidRPr="00A660E4">
              <w:rPr>
                <w:sz w:val="20"/>
                <w:szCs w:val="18"/>
              </w:rPr>
              <w:t>743</w:t>
            </w:r>
          </w:p>
        </w:tc>
      </w:tr>
      <w:tr w:rsidR="004D41A6" w:rsidRPr="002964D2" w14:paraId="05898DEC" w14:textId="77777777" w:rsidTr="008E45D5">
        <w:trPr>
          <w:trHeight w:val="360"/>
        </w:trPr>
        <w:tc>
          <w:tcPr>
            <w:tcW w:w="4357" w:type="dxa"/>
            <w:vAlign w:val="center"/>
          </w:tcPr>
          <w:p w14:paraId="74F4E376" w14:textId="5B695B7A" w:rsidR="004D41A6" w:rsidRPr="002964D2" w:rsidRDefault="004D41A6" w:rsidP="004D41A6">
            <w:pPr>
              <w:overflowPunct/>
              <w:autoSpaceDE/>
              <w:autoSpaceDN/>
              <w:adjustRightInd/>
              <w:textAlignment w:val="auto"/>
              <w:rPr>
                <w:sz w:val="20"/>
                <w:vertAlign w:val="superscript"/>
              </w:rPr>
            </w:pPr>
            <w:r w:rsidRPr="002964D2">
              <w:rPr>
                <w:sz w:val="20"/>
              </w:rPr>
              <w:t>Erillisrekisteritoiminnat</w:t>
            </w:r>
            <w:r w:rsidR="001C55E7">
              <w:rPr>
                <w:sz w:val="20"/>
              </w:rPr>
              <w:t xml:space="preserve"> </w:t>
            </w:r>
            <w:r w:rsidRPr="002964D2">
              <w:rPr>
                <w:sz w:val="20"/>
                <w:vertAlign w:val="superscript"/>
              </w:rPr>
              <w:t>(</w:t>
            </w:r>
            <w:r w:rsidR="001C55E7">
              <w:rPr>
                <w:sz w:val="20"/>
                <w:vertAlign w:val="superscript"/>
              </w:rPr>
              <w:t>1</w:t>
            </w:r>
          </w:p>
        </w:tc>
        <w:tc>
          <w:tcPr>
            <w:tcW w:w="754" w:type="dxa"/>
            <w:vAlign w:val="center"/>
          </w:tcPr>
          <w:p w14:paraId="71C70E17" w14:textId="6000DBC8"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85</w:t>
            </w:r>
          </w:p>
        </w:tc>
        <w:tc>
          <w:tcPr>
            <w:tcW w:w="754" w:type="dxa"/>
            <w:vAlign w:val="center"/>
          </w:tcPr>
          <w:p w14:paraId="7C747BAB" w14:textId="3EC19974"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111</w:t>
            </w:r>
          </w:p>
        </w:tc>
        <w:tc>
          <w:tcPr>
            <w:tcW w:w="754" w:type="dxa"/>
            <w:vAlign w:val="center"/>
          </w:tcPr>
          <w:p w14:paraId="1BB93DF1" w14:textId="4A9E791C"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165</w:t>
            </w:r>
          </w:p>
        </w:tc>
        <w:tc>
          <w:tcPr>
            <w:tcW w:w="754" w:type="dxa"/>
            <w:vAlign w:val="center"/>
          </w:tcPr>
          <w:p w14:paraId="2C8A12E7" w14:textId="539ACF57"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1</w:t>
            </w:r>
            <w:r>
              <w:rPr>
                <w:color w:val="000000" w:themeColor="text1"/>
                <w:sz w:val="20"/>
              </w:rPr>
              <w:t>8</w:t>
            </w:r>
            <w:r w:rsidRPr="002964D2">
              <w:rPr>
                <w:color w:val="000000" w:themeColor="text1"/>
                <w:sz w:val="20"/>
              </w:rPr>
              <w:t>5</w:t>
            </w:r>
          </w:p>
        </w:tc>
        <w:tc>
          <w:tcPr>
            <w:tcW w:w="754" w:type="dxa"/>
            <w:vAlign w:val="center"/>
          </w:tcPr>
          <w:p w14:paraId="48040547" w14:textId="2D20B35F"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173</w:t>
            </w:r>
          </w:p>
        </w:tc>
        <w:tc>
          <w:tcPr>
            <w:tcW w:w="754" w:type="dxa"/>
            <w:vAlign w:val="center"/>
          </w:tcPr>
          <w:p w14:paraId="5D4B5B12" w14:textId="14DB877B"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156</w:t>
            </w:r>
          </w:p>
        </w:tc>
        <w:tc>
          <w:tcPr>
            <w:tcW w:w="754" w:type="dxa"/>
            <w:vAlign w:val="center"/>
          </w:tcPr>
          <w:p w14:paraId="2EF1990F" w14:textId="402B92EE"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145</w:t>
            </w:r>
          </w:p>
        </w:tc>
      </w:tr>
      <w:tr w:rsidR="004D41A6" w:rsidRPr="002964D2" w14:paraId="4D99516E" w14:textId="77777777" w:rsidTr="008E45D5">
        <w:trPr>
          <w:trHeight w:val="487"/>
        </w:trPr>
        <w:tc>
          <w:tcPr>
            <w:tcW w:w="4357" w:type="dxa"/>
            <w:vAlign w:val="center"/>
          </w:tcPr>
          <w:p w14:paraId="0916566D" w14:textId="77777777" w:rsidR="004D41A6" w:rsidRPr="002964D2" w:rsidRDefault="004D41A6" w:rsidP="001C55E7">
            <w:pPr>
              <w:overflowPunct/>
              <w:autoSpaceDE/>
              <w:autoSpaceDN/>
              <w:adjustRightInd/>
              <w:spacing w:line="220" w:lineRule="exact"/>
              <w:ind w:left="318"/>
              <w:textAlignment w:val="auto"/>
              <w:rPr>
                <w:i/>
                <w:iCs/>
                <w:color w:val="000000" w:themeColor="text1"/>
                <w:sz w:val="20"/>
              </w:rPr>
            </w:pPr>
            <w:r w:rsidRPr="002964D2">
              <w:rPr>
                <w:i/>
                <w:iCs/>
                <w:color w:val="000000" w:themeColor="text1"/>
                <w:sz w:val="20"/>
              </w:rPr>
              <w:t>josta tulorekisterin perustoimintaan (jatkuva)</w:t>
            </w:r>
          </w:p>
        </w:tc>
        <w:tc>
          <w:tcPr>
            <w:tcW w:w="754" w:type="dxa"/>
            <w:vAlign w:val="center"/>
          </w:tcPr>
          <w:p w14:paraId="38FE5636" w14:textId="290E0021"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66</w:t>
            </w:r>
          </w:p>
        </w:tc>
        <w:tc>
          <w:tcPr>
            <w:tcW w:w="754" w:type="dxa"/>
            <w:vAlign w:val="center"/>
          </w:tcPr>
          <w:p w14:paraId="103E1B74" w14:textId="26E01465"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68</w:t>
            </w:r>
          </w:p>
        </w:tc>
        <w:tc>
          <w:tcPr>
            <w:tcW w:w="754" w:type="dxa"/>
            <w:vAlign w:val="center"/>
          </w:tcPr>
          <w:p w14:paraId="39AFEFB5" w14:textId="7BE8F8C4"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82</w:t>
            </w:r>
          </w:p>
        </w:tc>
        <w:tc>
          <w:tcPr>
            <w:tcW w:w="754" w:type="dxa"/>
            <w:vAlign w:val="center"/>
          </w:tcPr>
          <w:p w14:paraId="2D8BBFEE" w14:textId="12FFB527"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82</w:t>
            </w:r>
          </w:p>
        </w:tc>
        <w:tc>
          <w:tcPr>
            <w:tcW w:w="754" w:type="dxa"/>
            <w:vAlign w:val="center"/>
          </w:tcPr>
          <w:p w14:paraId="654EEABF" w14:textId="73961D52"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82</w:t>
            </w:r>
          </w:p>
        </w:tc>
        <w:tc>
          <w:tcPr>
            <w:tcW w:w="754" w:type="dxa"/>
            <w:vAlign w:val="center"/>
          </w:tcPr>
          <w:p w14:paraId="1F9080B3" w14:textId="6AB4F512"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82</w:t>
            </w:r>
          </w:p>
        </w:tc>
        <w:tc>
          <w:tcPr>
            <w:tcW w:w="754" w:type="dxa"/>
            <w:vAlign w:val="center"/>
          </w:tcPr>
          <w:p w14:paraId="05A6084E" w14:textId="6E754641"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82</w:t>
            </w:r>
          </w:p>
        </w:tc>
      </w:tr>
      <w:tr w:rsidR="004D41A6" w:rsidRPr="002964D2" w14:paraId="0AE03748" w14:textId="77777777" w:rsidTr="008E45D5">
        <w:tc>
          <w:tcPr>
            <w:tcW w:w="4357" w:type="dxa"/>
            <w:vAlign w:val="center"/>
          </w:tcPr>
          <w:p w14:paraId="69A5BDFA" w14:textId="77777777" w:rsidR="004D41A6" w:rsidRPr="002964D2" w:rsidRDefault="004D41A6" w:rsidP="001C55E7">
            <w:pPr>
              <w:overflowPunct/>
              <w:autoSpaceDE/>
              <w:autoSpaceDN/>
              <w:adjustRightInd/>
              <w:spacing w:line="220" w:lineRule="exact"/>
              <w:ind w:left="318"/>
              <w:textAlignment w:val="auto"/>
              <w:rPr>
                <w:i/>
                <w:iCs/>
                <w:color w:val="000000" w:themeColor="text1"/>
                <w:sz w:val="20"/>
              </w:rPr>
            </w:pPr>
            <w:r w:rsidRPr="002964D2">
              <w:rPr>
                <w:i/>
                <w:iCs/>
                <w:color w:val="000000" w:themeColor="text1"/>
                <w:sz w:val="20"/>
              </w:rPr>
              <w:t>josta positiivisen luottotietorekisterin perustamishankkeeseen (investointivaihe)</w:t>
            </w:r>
          </w:p>
        </w:tc>
        <w:tc>
          <w:tcPr>
            <w:tcW w:w="754" w:type="dxa"/>
            <w:vAlign w:val="center"/>
          </w:tcPr>
          <w:p w14:paraId="16760E1E" w14:textId="6362B379"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14</w:t>
            </w:r>
          </w:p>
        </w:tc>
        <w:tc>
          <w:tcPr>
            <w:tcW w:w="754" w:type="dxa"/>
            <w:vAlign w:val="center"/>
          </w:tcPr>
          <w:p w14:paraId="4A0856C3" w14:textId="056D7A17"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43</w:t>
            </w:r>
          </w:p>
        </w:tc>
        <w:tc>
          <w:tcPr>
            <w:tcW w:w="754" w:type="dxa"/>
            <w:vAlign w:val="center"/>
          </w:tcPr>
          <w:p w14:paraId="3CF543B7" w14:textId="7383218C"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73</w:t>
            </w:r>
          </w:p>
        </w:tc>
        <w:tc>
          <w:tcPr>
            <w:tcW w:w="754" w:type="dxa"/>
            <w:vAlign w:val="center"/>
          </w:tcPr>
          <w:p w14:paraId="2833AB42" w14:textId="1DF07E1E"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54</w:t>
            </w:r>
          </w:p>
        </w:tc>
        <w:tc>
          <w:tcPr>
            <w:tcW w:w="754" w:type="dxa"/>
            <w:vAlign w:val="center"/>
          </w:tcPr>
          <w:p w14:paraId="613DCC68" w14:textId="137634CF"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30</w:t>
            </w:r>
          </w:p>
        </w:tc>
        <w:tc>
          <w:tcPr>
            <w:tcW w:w="754" w:type="dxa"/>
            <w:vAlign w:val="center"/>
          </w:tcPr>
          <w:p w14:paraId="1AD78BEC" w14:textId="53821CDE"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11</w:t>
            </w:r>
          </w:p>
        </w:tc>
        <w:tc>
          <w:tcPr>
            <w:tcW w:w="754" w:type="dxa"/>
            <w:vAlign w:val="center"/>
          </w:tcPr>
          <w:p w14:paraId="5A1FA3EA" w14:textId="578D0A8E"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w:t>
            </w:r>
          </w:p>
        </w:tc>
      </w:tr>
      <w:tr w:rsidR="004D41A6" w:rsidRPr="002964D2" w14:paraId="494923AD" w14:textId="77777777" w:rsidTr="008E45D5">
        <w:trPr>
          <w:trHeight w:val="464"/>
        </w:trPr>
        <w:tc>
          <w:tcPr>
            <w:tcW w:w="4357" w:type="dxa"/>
            <w:vAlign w:val="center"/>
          </w:tcPr>
          <w:p w14:paraId="56B56E84" w14:textId="77777777" w:rsidR="004D41A6" w:rsidRPr="002964D2" w:rsidRDefault="004D41A6" w:rsidP="001C55E7">
            <w:pPr>
              <w:overflowPunct/>
              <w:autoSpaceDE/>
              <w:autoSpaceDN/>
              <w:adjustRightInd/>
              <w:spacing w:line="220" w:lineRule="exact"/>
              <w:ind w:left="318"/>
              <w:textAlignment w:val="auto"/>
              <w:rPr>
                <w:i/>
                <w:iCs/>
                <w:color w:val="000000" w:themeColor="text1"/>
                <w:sz w:val="20"/>
              </w:rPr>
            </w:pPr>
            <w:r w:rsidRPr="002964D2">
              <w:rPr>
                <w:i/>
                <w:iCs/>
                <w:color w:val="000000" w:themeColor="text1"/>
                <w:sz w:val="20"/>
              </w:rPr>
              <w:t>josta positiivisen luottotietorekisterin perustoimintaan (jatkuva)</w:t>
            </w:r>
          </w:p>
        </w:tc>
        <w:tc>
          <w:tcPr>
            <w:tcW w:w="754" w:type="dxa"/>
            <w:vAlign w:val="center"/>
          </w:tcPr>
          <w:p w14:paraId="095DA1FC" w14:textId="5CD84F23"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w:t>
            </w:r>
          </w:p>
        </w:tc>
        <w:tc>
          <w:tcPr>
            <w:tcW w:w="754" w:type="dxa"/>
            <w:vAlign w:val="center"/>
          </w:tcPr>
          <w:p w14:paraId="681C06D4" w14:textId="2BD7DC74"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w:t>
            </w:r>
          </w:p>
        </w:tc>
        <w:tc>
          <w:tcPr>
            <w:tcW w:w="754" w:type="dxa"/>
            <w:vAlign w:val="center"/>
          </w:tcPr>
          <w:p w14:paraId="163EDB65" w14:textId="5F3C60D6"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10</w:t>
            </w:r>
          </w:p>
        </w:tc>
        <w:tc>
          <w:tcPr>
            <w:tcW w:w="754" w:type="dxa"/>
            <w:vAlign w:val="center"/>
          </w:tcPr>
          <w:p w14:paraId="04736625" w14:textId="2327308E"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49</w:t>
            </w:r>
          </w:p>
        </w:tc>
        <w:tc>
          <w:tcPr>
            <w:tcW w:w="754" w:type="dxa"/>
            <w:vAlign w:val="center"/>
          </w:tcPr>
          <w:p w14:paraId="5A22529C" w14:textId="5D422F6D"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61</w:t>
            </w:r>
          </w:p>
        </w:tc>
        <w:tc>
          <w:tcPr>
            <w:tcW w:w="754" w:type="dxa"/>
            <w:vAlign w:val="center"/>
          </w:tcPr>
          <w:p w14:paraId="71C81B36" w14:textId="73807025"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63</w:t>
            </w:r>
          </w:p>
        </w:tc>
        <w:tc>
          <w:tcPr>
            <w:tcW w:w="754" w:type="dxa"/>
            <w:vAlign w:val="center"/>
          </w:tcPr>
          <w:p w14:paraId="24C8E014" w14:textId="4387C0A3"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63</w:t>
            </w:r>
          </w:p>
        </w:tc>
      </w:tr>
      <w:tr w:rsidR="004D41A6" w:rsidRPr="002964D2" w14:paraId="2CA1DD5B" w14:textId="77777777" w:rsidTr="008E45D5">
        <w:trPr>
          <w:trHeight w:val="324"/>
        </w:trPr>
        <w:tc>
          <w:tcPr>
            <w:tcW w:w="4357" w:type="dxa"/>
            <w:tcBorders>
              <w:bottom w:val="single" w:sz="4" w:space="0" w:color="auto"/>
            </w:tcBorders>
            <w:vAlign w:val="center"/>
          </w:tcPr>
          <w:p w14:paraId="15EA7778" w14:textId="77777777" w:rsidR="004D41A6" w:rsidRPr="002964D2" w:rsidRDefault="004D41A6" w:rsidP="004D41A6">
            <w:pPr>
              <w:overflowPunct/>
              <w:autoSpaceDE/>
              <w:autoSpaceDN/>
              <w:adjustRightInd/>
              <w:textAlignment w:val="auto"/>
              <w:rPr>
                <w:color w:val="000000" w:themeColor="text1"/>
                <w:sz w:val="20"/>
              </w:rPr>
            </w:pPr>
            <w:r w:rsidRPr="002964D2">
              <w:rPr>
                <w:color w:val="000000" w:themeColor="text1"/>
                <w:sz w:val="20"/>
              </w:rPr>
              <w:t>Kansallisen tulorekisterin toteutus</w:t>
            </w:r>
          </w:p>
        </w:tc>
        <w:tc>
          <w:tcPr>
            <w:tcW w:w="754" w:type="dxa"/>
            <w:tcBorders>
              <w:bottom w:val="single" w:sz="4" w:space="0" w:color="auto"/>
            </w:tcBorders>
            <w:vAlign w:val="center"/>
          </w:tcPr>
          <w:p w14:paraId="5EF60558" w14:textId="7F1D4E62"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5</w:t>
            </w:r>
          </w:p>
        </w:tc>
        <w:tc>
          <w:tcPr>
            <w:tcW w:w="754" w:type="dxa"/>
            <w:tcBorders>
              <w:bottom w:val="single" w:sz="4" w:space="0" w:color="auto"/>
            </w:tcBorders>
            <w:vAlign w:val="center"/>
          </w:tcPr>
          <w:p w14:paraId="1F37D723" w14:textId="32062A95"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w:t>
            </w:r>
          </w:p>
        </w:tc>
        <w:tc>
          <w:tcPr>
            <w:tcW w:w="754" w:type="dxa"/>
            <w:tcBorders>
              <w:bottom w:val="single" w:sz="4" w:space="0" w:color="auto"/>
            </w:tcBorders>
            <w:vAlign w:val="center"/>
          </w:tcPr>
          <w:p w14:paraId="3C452F35" w14:textId="58247E6A"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w:t>
            </w:r>
          </w:p>
        </w:tc>
        <w:tc>
          <w:tcPr>
            <w:tcW w:w="754" w:type="dxa"/>
            <w:tcBorders>
              <w:bottom w:val="single" w:sz="4" w:space="0" w:color="auto"/>
            </w:tcBorders>
            <w:vAlign w:val="center"/>
          </w:tcPr>
          <w:p w14:paraId="4530E7C2" w14:textId="600B42E8"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w:t>
            </w:r>
          </w:p>
        </w:tc>
        <w:tc>
          <w:tcPr>
            <w:tcW w:w="754" w:type="dxa"/>
            <w:tcBorders>
              <w:bottom w:val="single" w:sz="4" w:space="0" w:color="auto"/>
            </w:tcBorders>
            <w:vAlign w:val="center"/>
          </w:tcPr>
          <w:p w14:paraId="0037DFB6" w14:textId="07A41DEC"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w:t>
            </w:r>
          </w:p>
        </w:tc>
        <w:tc>
          <w:tcPr>
            <w:tcW w:w="754" w:type="dxa"/>
            <w:tcBorders>
              <w:bottom w:val="single" w:sz="4" w:space="0" w:color="auto"/>
            </w:tcBorders>
            <w:vAlign w:val="center"/>
          </w:tcPr>
          <w:p w14:paraId="7A8E019C" w14:textId="6BEA290D"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w:t>
            </w:r>
          </w:p>
        </w:tc>
        <w:tc>
          <w:tcPr>
            <w:tcW w:w="754" w:type="dxa"/>
            <w:tcBorders>
              <w:bottom w:val="single" w:sz="4" w:space="0" w:color="auto"/>
            </w:tcBorders>
            <w:vAlign w:val="center"/>
          </w:tcPr>
          <w:p w14:paraId="34E0BC3A" w14:textId="58C09B65"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w:t>
            </w:r>
          </w:p>
        </w:tc>
      </w:tr>
      <w:tr w:rsidR="004D41A6" w:rsidRPr="002964D2" w14:paraId="68584D67" w14:textId="77777777" w:rsidTr="00C8060E">
        <w:trPr>
          <w:trHeight w:val="272"/>
        </w:trPr>
        <w:tc>
          <w:tcPr>
            <w:tcW w:w="4357" w:type="dxa"/>
            <w:shd w:val="clear" w:color="auto" w:fill="E5EFE5" w:themeFill="background2"/>
            <w:vAlign w:val="center"/>
          </w:tcPr>
          <w:p w14:paraId="58B5AF31" w14:textId="77777777" w:rsidR="004D41A6" w:rsidRPr="002964D2" w:rsidRDefault="004D41A6" w:rsidP="004D41A6">
            <w:pPr>
              <w:overflowPunct/>
              <w:autoSpaceDE/>
              <w:autoSpaceDN/>
              <w:adjustRightInd/>
              <w:textAlignment w:val="auto"/>
              <w:rPr>
                <w:b/>
                <w:color w:val="000000" w:themeColor="text1"/>
                <w:sz w:val="20"/>
              </w:rPr>
            </w:pPr>
            <w:r w:rsidRPr="002964D2">
              <w:rPr>
                <w:b/>
                <w:color w:val="000000" w:themeColor="text1"/>
                <w:sz w:val="20"/>
              </w:rPr>
              <w:t>Verohallinnon henkilötyön tarve yhteensä</w:t>
            </w:r>
          </w:p>
        </w:tc>
        <w:tc>
          <w:tcPr>
            <w:tcW w:w="754" w:type="dxa"/>
            <w:shd w:val="clear" w:color="auto" w:fill="E5EFE5" w:themeFill="background2"/>
            <w:vAlign w:val="center"/>
          </w:tcPr>
          <w:p w14:paraId="4D0EE169" w14:textId="01EC62F8" w:rsidR="004D41A6" w:rsidRPr="002964D2" w:rsidRDefault="004D41A6" w:rsidP="004D41A6">
            <w:pPr>
              <w:overflowPunct/>
              <w:autoSpaceDE/>
              <w:autoSpaceDN/>
              <w:adjustRightInd/>
              <w:jc w:val="right"/>
              <w:textAlignment w:val="auto"/>
              <w:rPr>
                <w:b/>
                <w:color w:val="000000" w:themeColor="text1"/>
                <w:sz w:val="20"/>
              </w:rPr>
            </w:pPr>
            <w:r w:rsidRPr="002964D2">
              <w:rPr>
                <w:b/>
                <w:color w:val="000000" w:themeColor="text1"/>
                <w:sz w:val="20"/>
              </w:rPr>
              <w:t>5 016</w:t>
            </w:r>
          </w:p>
        </w:tc>
        <w:tc>
          <w:tcPr>
            <w:tcW w:w="754" w:type="dxa"/>
            <w:shd w:val="clear" w:color="auto" w:fill="E5EFE5" w:themeFill="background2"/>
            <w:vAlign w:val="center"/>
          </w:tcPr>
          <w:p w14:paraId="4EEA6797" w14:textId="0A14B5CB" w:rsidR="004D41A6" w:rsidRPr="002964D2" w:rsidRDefault="004D41A6" w:rsidP="004D41A6">
            <w:pPr>
              <w:overflowPunct/>
              <w:autoSpaceDE/>
              <w:autoSpaceDN/>
              <w:adjustRightInd/>
              <w:jc w:val="right"/>
              <w:textAlignment w:val="auto"/>
              <w:rPr>
                <w:b/>
                <w:color w:val="000000" w:themeColor="text1"/>
                <w:sz w:val="20"/>
              </w:rPr>
            </w:pPr>
            <w:r w:rsidRPr="002964D2">
              <w:rPr>
                <w:b/>
                <w:color w:val="000000" w:themeColor="text1"/>
                <w:sz w:val="20"/>
              </w:rPr>
              <w:t>5 138</w:t>
            </w:r>
          </w:p>
        </w:tc>
        <w:tc>
          <w:tcPr>
            <w:tcW w:w="754" w:type="dxa"/>
            <w:shd w:val="clear" w:color="auto" w:fill="E5EFE5" w:themeFill="background2"/>
            <w:vAlign w:val="center"/>
          </w:tcPr>
          <w:p w14:paraId="1194DBA8" w14:textId="3F078962" w:rsidR="004D41A6" w:rsidRPr="00CC48F7" w:rsidRDefault="004D41A6" w:rsidP="004D41A6">
            <w:pPr>
              <w:overflowPunct/>
              <w:autoSpaceDE/>
              <w:autoSpaceDN/>
              <w:adjustRightInd/>
              <w:jc w:val="right"/>
              <w:textAlignment w:val="auto"/>
              <w:rPr>
                <w:b/>
                <w:color w:val="FF0000"/>
                <w:sz w:val="20"/>
                <w:szCs w:val="18"/>
              </w:rPr>
            </w:pPr>
            <w:r w:rsidRPr="00CC48F7">
              <w:rPr>
                <w:b/>
                <w:sz w:val="20"/>
                <w:szCs w:val="18"/>
              </w:rPr>
              <w:t xml:space="preserve">5 </w:t>
            </w:r>
            <w:r w:rsidR="00CC48F7" w:rsidRPr="00CC48F7">
              <w:rPr>
                <w:b/>
                <w:bCs/>
                <w:sz w:val="20"/>
                <w:szCs w:val="18"/>
              </w:rPr>
              <w:t>292</w:t>
            </w:r>
          </w:p>
        </w:tc>
        <w:tc>
          <w:tcPr>
            <w:tcW w:w="754" w:type="dxa"/>
            <w:shd w:val="clear" w:color="auto" w:fill="E5EFE5" w:themeFill="background2"/>
            <w:vAlign w:val="center"/>
          </w:tcPr>
          <w:p w14:paraId="16BB80AB" w14:textId="4DC65F42" w:rsidR="004D41A6" w:rsidRPr="00CC48F7" w:rsidRDefault="004D41A6" w:rsidP="004D41A6">
            <w:pPr>
              <w:overflowPunct/>
              <w:autoSpaceDE/>
              <w:autoSpaceDN/>
              <w:adjustRightInd/>
              <w:jc w:val="right"/>
              <w:textAlignment w:val="auto"/>
              <w:rPr>
                <w:b/>
                <w:color w:val="FF0000"/>
                <w:sz w:val="20"/>
                <w:szCs w:val="18"/>
              </w:rPr>
            </w:pPr>
            <w:r w:rsidRPr="00CC48F7">
              <w:rPr>
                <w:b/>
                <w:sz w:val="20"/>
                <w:szCs w:val="18"/>
              </w:rPr>
              <w:t xml:space="preserve">5 </w:t>
            </w:r>
            <w:r w:rsidR="00CC48F7" w:rsidRPr="00CC48F7">
              <w:rPr>
                <w:b/>
                <w:bCs/>
                <w:sz w:val="20"/>
                <w:szCs w:val="18"/>
              </w:rPr>
              <w:t>266</w:t>
            </w:r>
          </w:p>
        </w:tc>
        <w:tc>
          <w:tcPr>
            <w:tcW w:w="754" w:type="dxa"/>
            <w:shd w:val="clear" w:color="auto" w:fill="E5EFE5" w:themeFill="background2"/>
            <w:vAlign w:val="center"/>
          </w:tcPr>
          <w:p w14:paraId="3243E249" w14:textId="38D35E6D" w:rsidR="004D41A6" w:rsidRPr="00CC48F7" w:rsidRDefault="004D41A6" w:rsidP="004D41A6">
            <w:pPr>
              <w:overflowPunct/>
              <w:autoSpaceDE/>
              <w:autoSpaceDN/>
              <w:adjustRightInd/>
              <w:jc w:val="right"/>
              <w:textAlignment w:val="auto"/>
              <w:rPr>
                <w:b/>
                <w:color w:val="FF0000"/>
                <w:sz w:val="20"/>
                <w:szCs w:val="18"/>
              </w:rPr>
            </w:pPr>
            <w:r w:rsidRPr="00CC48F7">
              <w:rPr>
                <w:b/>
                <w:sz w:val="20"/>
                <w:szCs w:val="18"/>
              </w:rPr>
              <w:t xml:space="preserve">5 </w:t>
            </w:r>
            <w:r w:rsidR="00CC48F7" w:rsidRPr="00CC48F7">
              <w:rPr>
                <w:b/>
                <w:bCs/>
                <w:sz w:val="20"/>
                <w:szCs w:val="18"/>
              </w:rPr>
              <w:t>086</w:t>
            </w:r>
          </w:p>
        </w:tc>
        <w:tc>
          <w:tcPr>
            <w:tcW w:w="754" w:type="dxa"/>
            <w:shd w:val="clear" w:color="auto" w:fill="E5EFE5" w:themeFill="background2"/>
            <w:vAlign w:val="center"/>
          </w:tcPr>
          <w:p w14:paraId="714CCCE7" w14:textId="14464FCC" w:rsidR="004D41A6" w:rsidRPr="00CC48F7" w:rsidRDefault="00CC48F7" w:rsidP="004D41A6">
            <w:pPr>
              <w:overflowPunct/>
              <w:autoSpaceDE/>
              <w:autoSpaceDN/>
              <w:adjustRightInd/>
              <w:jc w:val="right"/>
              <w:textAlignment w:val="auto"/>
              <w:rPr>
                <w:b/>
                <w:color w:val="FF0000"/>
                <w:sz w:val="20"/>
                <w:szCs w:val="18"/>
              </w:rPr>
            </w:pPr>
            <w:r w:rsidRPr="00CC48F7">
              <w:rPr>
                <w:b/>
                <w:bCs/>
                <w:sz w:val="20"/>
                <w:szCs w:val="18"/>
              </w:rPr>
              <w:t>4 899</w:t>
            </w:r>
          </w:p>
        </w:tc>
        <w:tc>
          <w:tcPr>
            <w:tcW w:w="754" w:type="dxa"/>
            <w:shd w:val="clear" w:color="auto" w:fill="E5EFE5" w:themeFill="background2"/>
            <w:vAlign w:val="center"/>
          </w:tcPr>
          <w:p w14:paraId="2A5DB793" w14:textId="2A66E6C1" w:rsidR="004D41A6" w:rsidRPr="00CC48F7" w:rsidRDefault="004D41A6" w:rsidP="004D41A6">
            <w:pPr>
              <w:overflowPunct/>
              <w:autoSpaceDE/>
              <w:autoSpaceDN/>
              <w:adjustRightInd/>
              <w:jc w:val="right"/>
              <w:textAlignment w:val="auto"/>
              <w:rPr>
                <w:b/>
                <w:color w:val="FF0000"/>
                <w:sz w:val="20"/>
                <w:szCs w:val="18"/>
              </w:rPr>
            </w:pPr>
            <w:r w:rsidRPr="00CC48F7">
              <w:rPr>
                <w:b/>
                <w:sz w:val="20"/>
                <w:szCs w:val="18"/>
              </w:rPr>
              <w:t xml:space="preserve">4 </w:t>
            </w:r>
            <w:r w:rsidR="00CC48F7" w:rsidRPr="00CC48F7">
              <w:rPr>
                <w:b/>
                <w:bCs/>
                <w:sz w:val="20"/>
                <w:szCs w:val="18"/>
              </w:rPr>
              <w:t>888</w:t>
            </w:r>
          </w:p>
        </w:tc>
      </w:tr>
      <w:tr w:rsidR="004D41A6" w:rsidRPr="002964D2" w14:paraId="4F3208D1" w14:textId="77777777" w:rsidTr="008E45D5">
        <w:trPr>
          <w:trHeight w:val="304"/>
        </w:trPr>
        <w:tc>
          <w:tcPr>
            <w:tcW w:w="4357" w:type="dxa"/>
            <w:vAlign w:val="center"/>
          </w:tcPr>
          <w:p w14:paraId="1E9E61CE" w14:textId="77777777" w:rsidR="004D41A6" w:rsidRPr="002964D2" w:rsidRDefault="004D41A6" w:rsidP="004D41A6">
            <w:pPr>
              <w:overflowPunct/>
              <w:autoSpaceDE/>
              <w:autoSpaceDN/>
              <w:adjustRightInd/>
              <w:textAlignment w:val="auto"/>
              <w:rPr>
                <w:sz w:val="20"/>
              </w:rPr>
            </w:pPr>
            <w:r w:rsidRPr="002964D2">
              <w:rPr>
                <w:sz w:val="20"/>
              </w:rPr>
              <w:t>Vuosimuutos</w:t>
            </w:r>
          </w:p>
        </w:tc>
        <w:tc>
          <w:tcPr>
            <w:tcW w:w="754" w:type="dxa"/>
            <w:vAlign w:val="center"/>
          </w:tcPr>
          <w:p w14:paraId="3D1AD934" w14:textId="6DEEEA85" w:rsidR="004D41A6" w:rsidRPr="002964D2" w:rsidRDefault="004D41A6" w:rsidP="004D41A6">
            <w:pPr>
              <w:overflowPunct/>
              <w:autoSpaceDE/>
              <w:autoSpaceDN/>
              <w:adjustRightInd/>
              <w:jc w:val="right"/>
              <w:textAlignment w:val="auto"/>
              <w:rPr>
                <w:color w:val="000000" w:themeColor="text1"/>
                <w:sz w:val="20"/>
              </w:rPr>
            </w:pPr>
            <w:r>
              <w:rPr>
                <w:color w:val="000000" w:themeColor="text1"/>
                <w:sz w:val="20"/>
              </w:rPr>
              <w:t>-</w:t>
            </w:r>
          </w:p>
        </w:tc>
        <w:tc>
          <w:tcPr>
            <w:tcW w:w="754" w:type="dxa"/>
            <w:vAlign w:val="center"/>
          </w:tcPr>
          <w:p w14:paraId="4A0B70AA" w14:textId="23610907" w:rsidR="004D41A6" w:rsidRPr="002964D2" w:rsidRDefault="004D41A6" w:rsidP="004D41A6">
            <w:pPr>
              <w:overflowPunct/>
              <w:autoSpaceDE/>
              <w:autoSpaceDN/>
              <w:adjustRightInd/>
              <w:jc w:val="right"/>
              <w:textAlignment w:val="auto"/>
              <w:rPr>
                <w:color w:val="000000" w:themeColor="text1"/>
                <w:sz w:val="20"/>
              </w:rPr>
            </w:pPr>
            <w:r w:rsidRPr="002964D2">
              <w:rPr>
                <w:color w:val="000000" w:themeColor="text1"/>
                <w:sz w:val="20"/>
              </w:rPr>
              <w:t>+122</w:t>
            </w:r>
          </w:p>
        </w:tc>
        <w:tc>
          <w:tcPr>
            <w:tcW w:w="754" w:type="dxa"/>
            <w:vAlign w:val="center"/>
          </w:tcPr>
          <w:p w14:paraId="33EDFC41" w14:textId="043E027A" w:rsidR="004D41A6" w:rsidRPr="00CC48F7" w:rsidRDefault="004D41A6" w:rsidP="004D41A6">
            <w:pPr>
              <w:overflowPunct/>
              <w:autoSpaceDE/>
              <w:autoSpaceDN/>
              <w:adjustRightInd/>
              <w:jc w:val="right"/>
              <w:textAlignment w:val="auto"/>
              <w:rPr>
                <w:color w:val="FF0000"/>
                <w:sz w:val="20"/>
                <w:szCs w:val="18"/>
              </w:rPr>
            </w:pPr>
            <w:r w:rsidRPr="00CC48F7">
              <w:rPr>
                <w:sz w:val="20"/>
                <w:szCs w:val="18"/>
              </w:rPr>
              <w:t>+</w:t>
            </w:r>
            <w:r w:rsidR="00CC48F7" w:rsidRPr="00CC48F7">
              <w:rPr>
                <w:sz w:val="20"/>
                <w:szCs w:val="18"/>
              </w:rPr>
              <w:t>154</w:t>
            </w:r>
          </w:p>
        </w:tc>
        <w:tc>
          <w:tcPr>
            <w:tcW w:w="754" w:type="dxa"/>
            <w:vAlign w:val="center"/>
          </w:tcPr>
          <w:p w14:paraId="4BF322ED" w14:textId="2B8A05BF" w:rsidR="004D41A6" w:rsidRPr="00CC48F7" w:rsidRDefault="004D41A6" w:rsidP="004D41A6">
            <w:pPr>
              <w:overflowPunct/>
              <w:autoSpaceDE/>
              <w:autoSpaceDN/>
              <w:adjustRightInd/>
              <w:jc w:val="right"/>
              <w:textAlignment w:val="auto"/>
              <w:rPr>
                <w:color w:val="FF0000"/>
                <w:sz w:val="20"/>
                <w:szCs w:val="18"/>
              </w:rPr>
            </w:pPr>
            <w:r w:rsidRPr="00CC48F7">
              <w:rPr>
                <w:sz w:val="20"/>
                <w:szCs w:val="18"/>
              </w:rPr>
              <w:t>-</w:t>
            </w:r>
            <w:r w:rsidR="00CC48F7" w:rsidRPr="00CC48F7">
              <w:rPr>
                <w:sz w:val="20"/>
                <w:szCs w:val="18"/>
              </w:rPr>
              <w:t>26</w:t>
            </w:r>
          </w:p>
        </w:tc>
        <w:tc>
          <w:tcPr>
            <w:tcW w:w="754" w:type="dxa"/>
            <w:vAlign w:val="center"/>
          </w:tcPr>
          <w:p w14:paraId="498FCBB8" w14:textId="6C9C593F" w:rsidR="004D41A6" w:rsidRPr="00CC48F7" w:rsidRDefault="004D41A6" w:rsidP="004D41A6">
            <w:pPr>
              <w:overflowPunct/>
              <w:autoSpaceDE/>
              <w:autoSpaceDN/>
              <w:adjustRightInd/>
              <w:jc w:val="right"/>
              <w:textAlignment w:val="auto"/>
              <w:rPr>
                <w:color w:val="FF0000"/>
                <w:sz w:val="20"/>
                <w:szCs w:val="18"/>
              </w:rPr>
            </w:pPr>
            <w:r w:rsidRPr="00CC48F7">
              <w:rPr>
                <w:sz w:val="20"/>
                <w:szCs w:val="18"/>
              </w:rPr>
              <w:t>-</w:t>
            </w:r>
            <w:r w:rsidR="00CC48F7" w:rsidRPr="00CC48F7">
              <w:rPr>
                <w:sz w:val="20"/>
                <w:szCs w:val="18"/>
              </w:rPr>
              <w:t>180</w:t>
            </w:r>
          </w:p>
        </w:tc>
        <w:tc>
          <w:tcPr>
            <w:tcW w:w="754" w:type="dxa"/>
            <w:vAlign w:val="center"/>
          </w:tcPr>
          <w:p w14:paraId="2C8721B8" w14:textId="6029CC7C" w:rsidR="004D41A6" w:rsidRPr="00CC48F7" w:rsidRDefault="004D41A6" w:rsidP="004D41A6">
            <w:pPr>
              <w:overflowPunct/>
              <w:autoSpaceDE/>
              <w:autoSpaceDN/>
              <w:adjustRightInd/>
              <w:jc w:val="right"/>
              <w:textAlignment w:val="auto"/>
              <w:rPr>
                <w:color w:val="FF0000"/>
                <w:sz w:val="20"/>
                <w:szCs w:val="18"/>
              </w:rPr>
            </w:pPr>
            <w:r w:rsidRPr="00CC48F7">
              <w:rPr>
                <w:sz w:val="20"/>
                <w:szCs w:val="18"/>
              </w:rPr>
              <w:t>-</w:t>
            </w:r>
            <w:r w:rsidR="00CC48F7" w:rsidRPr="00CC48F7">
              <w:rPr>
                <w:sz w:val="20"/>
                <w:szCs w:val="18"/>
              </w:rPr>
              <w:t>187</w:t>
            </w:r>
          </w:p>
        </w:tc>
        <w:tc>
          <w:tcPr>
            <w:tcW w:w="754" w:type="dxa"/>
            <w:vAlign w:val="center"/>
          </w:tcPr>
          <w:p w14:paraId="57255B72" w14:textId="30D69294" w:rsidR="004D41A6" w:rsidRPr="00CC48F7" w:rsidRDefault="004D41A6" w:rsidP="004D41A6">
            <w:pPr>
              <w:overflowPunct/>
              <w:autoSpaceDE/>
              <w:autoSpaceDN/>
              <w:adjustRightInd/>
              <w:jc w:val="right"/>
              <w:textAlignment w:val="auto"/>
              <w:rPr>
                <w:color w:val="FF0000"/>
                <w:sz w:val="20"/>
                <w:szCs w:val="18"/>
              </w:rPr>
            </w:pPr>
            <w:r w:rsidRPr="00CC48F7">
              <w:rPr>
                <w:sz w:val="20"/>
                <w:szCs w:val="18"/>
              </w:rPr>
              <w:t>-</w:t>
            </w:r>
            <w:r w:rsidR="00CC48F7" w:rsidRPr="00CC48F7">
              <w:rPr>
                <w:sz w:val="20"/>
                <w:szCs w:val="18"/>
              </w:rPr>
              <w:t>11</w:t>
            </w:r>
          </w:p>
        </w:tc>
      </w:tr>
      <w:tr w:rsidR="004D41A6" w:rsidRPr="002964D2" w14:paraId="28608A22" w14:textId="77777777" w:rsidTr="00C8060E">
        <w:trPr>
          <w:trHeight w:val="304"/>
        </w:trPr>
        <w:tc>
          <w:tcPr>
            <w:tcW w:w="4357" w:type="dxa"/>
            <w:shd w:val="clear" w:color="auto" w:fill="E5EFE5" w:themeFill="background2"/>
            <w:vAlign w:val="center"/>
          </w:tcPr>
          <w:p w14:paraId="515C4C5D" w14:textId="2B6E5650" w:rsidR="004D41A6" w:rsidRPr="002964D2" w:rsidRDefault="00842760" w:rsidP="004D41A6">
            <w:pPr>
              <w:overflowPunct/>
              <w:autoSpaceDE/>
              <w:autoSpaceDN/>
              <w:adjustRightInd/>
              <w:textAlignment w:val="auto"/>
              <w:rPr>
                <w:color w:val="000000" w:themeColor="text1"/>
                <w:sz w:val="20"/>
                <w:vertAlign w:val="superscript"/>
              </w:rPr>
            </w:pPr>
            <w:r>
              <w:rPr>
                <w:color w:val="000000" w:themeColor="text1"/>
                <w:sz w:val="20"/>
              </w:rPr>
              <w:t>H</w:t>
            </w:r>
            <w:r w:rsidR="00CC48F7" w:rsidRPr="002964D2">
              <w:rPr>
                <w:color w:val="000000" w:themeColor="text1"/>
                <w:sz w:val="20"/>
              </w:rPr>
              <w:t>ankerahoituksella katettu henkilötyömäärä</w:t>
            </w:r>
            <w:r w:rsidR="001C55E7">
              <w:rPr>
                <w:color w:val="000000" w:themeColor="text1"/>
                <w:sz w:val="20"/>
              </w:rPr>
              <w:t xml:space="preserve"> </w:t>
            </w:r>
            <w:r w:rsidR="00CC48F7" w:rsidRPr="002964D2">
              <w:rPr>
                <w:color w:val="000000" w:themeColor="text1"/>
                <w:sz w:val="20"/>
                <w:vertAlign w:val="superscript"/>
              </w:rPr>
              <w:t>(</w:t>
            </w:r>
            <w:r w:rsidR="001C55E7">
              <w:rPr>
                <w:color w:val="000000" w:themeColor="text1"/>
                <w:sz w:val="20"/>
                <w:vertAlign w:val="superscript"/>
              </w:rPr>
              <w:t>2</w:t>
            </w:r>
          </w:p>
        </w:tc>
        <w:tc>
          <w:tcPr>
            <w:tcW w:w="754" w:type="dxa"/>
            <w:shd w:val="clear" w:color="auto" w:fill="E5EFE5" w:themeFill="background2"/>
            <w:vAlign w:val="center"/>
          </w:tcPr>
          <w:p w14:paraId="5CEA5F7B" w14:textId="76683BC5" w:rsidR="004D41A6" w:rsidRPr="002964D2" w:rsidRDefault="004D41A6" w:rsidP="004D41A6">
            <w:pPr>
              <w:overflowPunct/>
              <w:autoSpaceDE/>
              <w:autoSpaceDN/>
              <w:adjustRightInd/>
              <w:jc w:val="right"/>
              <w:textAlignment w:val="auto"/>
              <w:rPr>
                <w:color w:val="000000" w:themeColor="text1"/>
                <w:sz w:val="20"/>
              </w:rPr>
            </w:pPr>
            <w:r>
              <w:rPr>
                <w:color w:val="000000" w:themeColor="text1"/>
                <w:sz w:val="20"/>
              </w:rPr>
              <w:t>-</w:t>
            </w:r>
          </w:p>
        </w:tc>
        <w:tc>
          <w:tcPr>
            <w:tcW w:w="754" w:type="dxa"/>
            <w:shd w:val="clear" w:color="auto" w:fill="E5EFE5" w:themeFill="background2"/>
            <w:vAlign w:val="center"/>
          </w:tcPr>
          <w:p w14:paraId="265DC767" w14:textId="3A2496DD" w:rsidR="004D41A6" w:rsidRPr="002964D2" w:rsidRDefault="004D41A6" w:rsidP="004D41A6">
            <w:pPr>
              <w:overflowPunct/>
              <w:autoSpaceDE/>
              <w:autoSpaceDN/>
              <w:adjustRightInd/>
              <w:jc w:val="right"/>
              <w:textAlignment w:val="auto"/>
              <w:rPr>
                <w:color w:val="000000" w:themeColor="text1"/>
                <w:sz w:val="20"/>
              </w:rPr>
            </w:pPr>
            <w:r>
              <w:rPr>
                <w:color w:val="000000" w:themeColor="text1"/>
                <w:sz w:val="20"/>
              </w:rPr>
              <w:t>47</w:t>
            </w:r>
          </w:p>
        </w:tc>
        <w:tc>
          <w:tcPr>
            <w:tcW w:w="754" w:type="dxa"/>
            <w:shd w:val="clear" w:color="auto" w:fill="E5EFE5" w:themeFill="background2"/>
            <w:vAlign w:val="center"/>
          </w:tcPr>
          <w:p w14:paraId="76B78C76" w14:textId="5689C2C0" w:rsidR="004D41A6" w:rsidRPr="00CC48F7" w:rsidRDefault="00CC48F7" w:rsidP="004D41A6">
            <w:pPr>
              <w:overflowPunct/>
              <w:autoSpaceDE/>
              <w:autoSpaceDN/>
              <w:adjustRightInd/>
              <w:jc w:val="right"/>
              <w:textAlignment w:val="auto"/>
              <w:rPr>
                <w:color w:val="000000" w:themeColor="text1"/>
                <w:sz w:val="20"/>
                <w:szCs w:val="18"/>
              </w:rPr>
            </w:pPr>
            <w:r w:rsidRPr="00CC48F7">
              <w:rPr>
                <w:sz w:val="20"/>
                <w:szCs w:val="18"/>
              </w:rPr>
              <w:t>63</w:t>
            </w:r>
          </w:p>
        </w:tc>
        <w:tc>
          <w:tcPr>
            <w:tcW w:w="754" w:type="dxa"/>
            <w:shd w:val="clear" w:color="auto" w:fill="E5EFE5" w:themeFill="background2"/>
            <w:vAlign w:val="center"/>
          </w:tcPr>
          <w:p w14:paraId="7A948718" w14:textId="0F307A23" w:rsidR="004D41A6" w:rsidRPr="00CC48F7" w:rsidRDefault="00CC48F7" w:rsidP="004D41A6">
            <w:pPr>
              <w:overflowPunct/>
              <w:autoSpaceDE/>
              <w:autoSpaceDN/>
              <w:adjustRightInd/>
              <w:jc w:val="right"/>
              <w:textAlignment w:val="auto"/>
              <w:rPr>
                <w:color w:val="000000" w:themeColor="text1"/>
                <w:sz w:val="20"/>
                <w:szCs w:val="18"/>
              </w:rPr>
            </w:pPr>
            <w:r w:rsidRPr="00CC48F7">
              <w:rPr>
                <w:sz w:val="20"/>
                <w:szCs w:val="18"/>
              </w:rPr>
              <w:t>40</w:t>
            </w:r>
          </w:p>
        </w:tc>
        <w:tc>
          <w:tcPr>
            <w:tcW w:w="754" w:type="dxa"/>
            <w:shd w:val="clear" w:color="auto" w:fill="E5EFE5" w:themeFill="background2"/>
            <w:vAlign w:val="center"/>
          </w:tcPr>
          <w:p w14:paraId="2F0FAA37" w14:textId="594A8A97" w:rsidR="004D41A6" w:rsidRPr="00CC48F7" w:rsidRDefault="004D41A6" w:rsidP="004D41A6">
            <w:pPr>
              <w:overflowPunct/>
              <w:autoSpaceDE/>
              <w:autoSpaceDN/>
              <w:adjustRightInd/>
              <w:jc w:val="right"/>
              <w:textAlignment w:val="auto"/>
              <w:rPr>
                <w:color w:val="000000" w:themeColor="text1"/>
                <w:sz w:val="20"/>
                <w:szCs w:val="18"/>
              </w:rPr>
            </w:pPr>
            <w:r w:rsidRPr="00CC48F7">
              <w:rPr>
                <w:sz w:val="20"/>
                <w:szCs w:val="18"/>
              </w:rPr>
              <w:t>20</w:t>
            </w:r>
          </w:p>
        </w:tc>
        <w:tc>
          <w:tcPr>
            <w:tcW w:w="754" w:type="dxa"/>
            <w:shd w:val="clear" w:color="auto" w:fill="E5EFE5" w:themeFill="background2"/>
            <w:vAlign w:val="center"/>
          </w:tcPr>
          <w:p w14:paraId="0701DB9F" w14:textId="564F9629" w:rsidR="004D41A6" w:rsidRPr="00CC48F7" w:rsidRDefault="004D41A6" w:rsidP="004D41A6">
            <w:pPr>
              <w:overflowPunct/>
              <w:autoSpaceDE/>
              <w:autoSpaceDN/>
              <w:adjustRightInd/>
              <w:jc w:val="right"/>
              <w:textAlignment w:val="auto"/>
              <w:rPr>
                <w:color w:val="000000" w:themeColor="text1"/>
                <w:sz w:val="20"/>
                <w:szCs w:val="18"/>
              </w:rPr>
            </w:pPr>
            <w:r w:rsidRPr="00CC48F7">
              <w:rPr>
                <w:sz w:val="20"/>
                <w:szCs w:val="18"/>
              </w:rPr>
              <w:t>20</w:t>
            </w:r>
          </w:p>
        </w:tc>
        <w:tc>
          <w:tcPr>
            <w:tcW w:w="754" w:type="dxa"/>
            <w:shd w:val="clear" w:color="auto" w:fill="E5EFE5" w:themeFill="background2"/>
            <w:vAlign w:val="center"/>
          </w:tcPr>
          <w:p w14:paraId="6D531BDB" w14:textId="34513AB6" w:rsidR="004D41A6" w:rsidRPr="00CC48F7" w:rsidRDefault="004D41A6" w:rsidP="004D41A6">
            <w:pPr>
              <w:overflowPunct/>
              <w:autoSpaceDE/>
              <w:autoSpaceDN/>
              <w:adjustRightInd/>
              <w:jc w:val="right"/>
              <w:textAlignment w:val="auto"/>
              <w:rPr>
                <w:color w:val="000000" w:themeColor="text1"/>
                <w:sz w:val="20"/>
                <w:szCs w:val="18"/>
              </w:rPr>
            </w:pPr>
            <w:r w:rsidRPr="00CC48F7">
              <w:rPr>
                <w:sz w:val="20"/>
                <w:szCs w:val="18"/>
              </w:rPr>
              <w:t>20</w:t>
            </w:r>
          </w:p>
        </w:tc>
      </w:tr>
      <w:tr w:rsidR="004D41A6" w:rsidRPr="002964D2" w14:paraId="2B4A3497" w14:textId="77777777" w:rsidTr="008E45D5">
        <w:trPr>
          <w:trHeight w:val="304"/>
        </w:trPr>
        <w:tc>
          <w:tcPr>
            <w:tcW w:w="4357" w:type="dxa"/>
            <w:vAlign w:val="center"/>
          </w:tcPr>
          <w:p w14:paraId="26A945BD" w14:textId="1AA1D060" w:rsidR="004D41A6" w:rsidRPr="002964D2" w:rsidRDefault="004D41A6" w:rsidP="001C55E7">
            <w:pPr>
              <w:overflowPunct/>
              <w:autoSpaceDE/>
              <w:autoSpaceDN/>
              <w:adjustRightInd/>
              <w:spacing w:line="220" w:lineRule="exact"/>
              <w:ind w:left="306"/>
              <w:textAlignment w:val="auto"/>
              <w:rPr>
                <w:i/>
                <w:iCs/>
                <w:color w:val="000000" w:themeColor="text1"/>
                <w:sz w:val="20"/>
              </w:rPr>
            </w:pPr>
            <w:r w:rsidRPr="002964D2">
              <w:rPr>
                <w:i/>
                <w:iCs/>
                <w:color w:val="000000" w:themeColor="text1"/>
                <w:sz w:val="20"/>
              </w:rPr>
              <w:t xml:space="preserve">josta </w:t>
            </w:r>
            <w:r>
              <w:rPr>
                <w:i/>
                <w:iCs/>
                <w:color w:val="000000" w:themeColor="text1"/>
                <w:sz w:val="20"/>
              </w:rPr>
              <w:t>Tulorekisteriyksikön ostoja muista Verohallinnon yksiköistä</w:t>
            </w:r>
          </w:p>
        </w:tc>
        <w:tc>
          <w:tcPr>
            <w:tcW w:w="754" w:type="dxa"/>
            <w:vAlign w:val="center"/>
          </w:tcPr>
          <w:p w14:paraId="46E51F9A" w14:textId="4CC3C179" w:rsidR="004D41A6" w:rsidRDefault="004D41A6" w:rsidP="004D41A6">
            <w:pPr>
              <w:overflowPunct/>
              <w:autoSpaceDE/>
              <w:autoSpaceDN/>
              <w:adjustRightInd/>
              <w:jc w:val="center"/>
              <w:textAlignment w:val="auto"/>
              <w:rPr>
                <w:i/>
                <w:iCs/>
                <w:color w:val="000000" w:themeColor="text1"/>
                <w:sz w:val="20"/>
              </w:rPr>
            </w:pPr>
            <w:r>
              <w:rPr>
                <w:i/>
                <w:iCs/>
                <w:color w:val="000000" w:themeColor="text1"/>
                <w:sz w:val="20"/>
              </w:rPr>
              <w:t>(25)</w:t>
            </w:r>
          </w:p>
        </w:tc>
        <w:tc>
          <w:tcPr>
            <w:tcW w:w="754" w:type="dxa"/>
            <w:vAlign w:val="center"/>
          </w:tcPr>
          <w:p w14:paraId="5EFA3CC5" w14:textId="0CE22D8E" w:rsidR="004D41A6" w:rsidRPr="002964D2" w:rsidRDefault="004D41A6" w:rsidP="004D41A6">
            <w:pPr>
              <w:overflowPunct/>
              <w:autoSpaceDE/>
              <w:autoSpaceDN/>
              <w:adjustRightInd/>
              <w:jc w:val="center"/>
              <w:textAlignment w:val="auto"/>
              <w:rPr>
                <w:i/>
                <w:iCs/>
                <w:color w:val="000000" w:themeColor="text1"/>
                <w:sz w:val="20"/>
              </w:rPr>
            </w:pPr>
            <w:r>
              <w:rPr>
                <w:i/>
                <w:iCs/>
                <w:color w:val="000000" w:themeColor="text1"/>
                <w:sz w:val="20"/>
              </w:rPr>
              <w:t>25</w:t>
            </w:r>
          </w:p>
        </w:tc>
        <w:tc>
          <w:tcPr>
            <w:tcW w:w="754" w:type="dxa"/>
            <w:vAlign w:val="center"/>
          </w:tcPr>
          <w:p w14:paraId="40FA4C00" w14:textId="3B038333"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20</w:t>
            </w:r>
          </w:p>
        </w:tc>
        <w:tc>
          <w:tcPr>
            <w:tcW w:w="754" w:type="dxa"/>
            <w:vAlign w:val="center"/>
          </w:tcPr>
          <w:p w14:paraId="5D426E32" w14:textId="25945603"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20</w:t>
            </w:r>
          </w:p>
        </w:tc>
        <w:tc>
          <w:tcPr>
            <w:tcW w:w="754" w:type="dxa"/>
            <w:vAlign w:val="center"/>
          </w:tcPr>
          <w:p w14:paraId="588A57F8" w14:textId="16F221C2"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20</w:t>
            </w:r>
          </w:p>
        </w:tc>
        <w:tc>
          <w:tcPr>
            <w:tcW w:w="754" w:type="dxa"/>
            <w:vAlign w:val="center"/>
          </w:tcPr>
          <w:p w14:paraId="4E5D9CD6" w14:textId="120F1C93"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20</w:t>
            </w:r>
          </w:p>
        </w:tc>
        <w:tc>
          <w:tcPr>
            <w:tcW w:w="754" w:type="dxa"/>
            <w:vAlign w:val="center"/>
          </w:tcPr>
          <w:p w14:paraId="78568C1D" w14:textId="591C09F6"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20</w:t>
            </w:r>
          </w:p>
        </w:tc>
      </w:tr>
      <w:tr w:rsidR="004D41A6" w:rsidRPr="002964D2" w14:paraId="78BF9A50" w14:textId="77777777" w:rsidTr="008E45D5">
        <w:trPr>
          <w:trHeight w:val="304"/>
        </w:trPr>
        <w:tc>
          <w:tcPr>
            <w:tcW w:w="4357" w:type="dxa"/>
            <w:vAlign w:val="center"/>
          </w:tcPr>
          <w:p w14:paraId="1AA011A5" w14:textId="781945D6" w:rsidR="004D41A6" w:rsidRPr="002964D2" w:rsidRDefault="004D41A6" w:rsidP="001C55E7">
            <w:pPr>
              <w:overflowPunct/>
              <w:autoSpaceDE/>
              <w:autoSpaceDN/>
              <w:adjustRightInd/>
              <w:spacing w:line="220" w:lineRule="exact"/>
              <w:ind w:left="306"/>
              <w:textAlignment w:val="auto"/>
              <w:rPr>
                <w:i/>
                <w:iCs/>
                <w:color w:val="000000" w:themeColor="text1"/>
                <w:sz w:val="20"/>
              </w:rPr>
            </w:pPr>
            <w:r w:rsidRPr="002964D2">
              <w:rPr>
                <w:i/>
                <w:iCs/>
                <w:color w:val="000000" w:themeColor="text1"/>
                <w:sz w:val="20"/>
              </w:rPr>
              <w:t>josta harmaan talouden torjuntaohjelma vuosille 2020-2023 vaikutusta</w:t>
            </w:r>
          </w:p>
        </w:tc>
        <w:tc>
          <w:tcPr>
            <w:tcW w:w="754" w:type="dxa"/>
            <w:vAlign w:val="center"/>
          </w:tcPr>
          <w:p w14:paraId="09D1B1E0" w14:textId="19D5CFFA" w:rsidR="004D41A6" w:rsidRPr="002964D2" w:rsidRDefault="004D41A6" w:rsidP="004D41A6">
            <w:pPr>
              <w:overflowPunct/>
              <w:autoSpaceDE/>
              <w:autoSpaceDN/>
              <w:adjustRightInd/>
              <w:jc w:val="center"/>
              <w:textAlignment w:val="auto"/>
              <w:rPr>
                <w:i/>
                <w:iCs/>
                <w:color w:val="000000" w:themeColor="text1"/>
                <w:sz w:val="20"/>
              </w:rPr>
            </w:pPr>
            <w:r>
              <w:rPr>
                <w:i/>
                <w:iCs/>
                <w:color w:val="000000" w:themeColor="text1"/>
                <w:sz w:val="20"/>
              </w:rPr>
              <w:t>(11)</w:t>
            </w:r>
          </w:p>
        </w:tc>
        <w:tc>
          <w:tcPr>
            <w:tcW w:w="754" w:type="dxa"/>
            <w:vAlign w:val="center"/>
          </w:tcPr>
          <w:p w14:paraId="4CA18410" w14:textId="040BE998" w:rsidR="004D41A6" w:rsidRPr="002964D2" w:rsidRDefault="004D41A6" w:rsidP="004D41A6">
            <w:pPr>
              <w:overflowPunct/>
              <w:autoSpaceDE/>
              <w:autoSpaceDN/>
              <w:adjustRightInd/>
              <w:jc w:val="center"/>
              <w:textAlignment w:val="auto"/>
              <w:rPr>
                <w:i/>
                <w:iCs/>
                <w:color w:val="000000" w:themeColor="text1"/>
                <w:sz w:val="20"/>
              </w:rPr>
            </w:pPr>
            <w:r w:rsidRPr="002964D2">
              <w:rPr>
                <w:i/>
                <w:iCs/>
                <w:color w:val="000000" w:themeColor="text1"/>
                <w:sz w:val="20"/>
              </w:rPr>
              <w:t>15</w:t>
            </w:r>
          </w:p>
        </w:tc>
        <w:tc>
          <w:tcPr>
            <w:tcW w:w="754" w:type="dxa"/>
            <w:vAlign w:val="center"/>
          </w:tcPr>
          <w:p w14:paraId="6B5441A9" w14:textId="3CE81B15" w:rsidR="004D41A6" w:rsidRPr="00CC48F7" w:rsidRDefault="00CC48F7" w:rsidP="004D41A6">
            <w:pPr>
              <w:overflowPunct/>
              <w:autoSpaceDE/>
              <w:autoSpaceDN/>
              <w:adjustRightInd/>
              <w:jc w:val="center"/>
              <w:textAlignment w:val="auto"/>
              <w:rPr>
                <w:i/>
                <w:color w:val="000000" w:themeColor="text1"/>
                <w:sz w:val="20"/>
                <w:szCs w:val="18"/>
              </w:rPr>
            </w:pPr>
            <w:r w:rsidRPr="00CC48F7">
              <w:rPr>
                <w:sz w:val="20"/>
                <w:szCs w:val="18"/>
              </w:rPr>
              <w:t>21</w:t>
            </w:r>
          </w:p>
        </w:tc>
        <w:tc>
          <w:tcPr>
            <w:tcW w:w="754" w:type="dxa"/>
            <w:vAlign w:val="center"/>
          </w:tcPr>
          <w:p w14:paraId="1A67E729" w14:textId="23731D94" w:rsidR="004D41A6" w:rsidRPr="00CC48F7" w:rsidRDefault="00CC48F7" w:rsidP="004D41A6">
            <w:pPr>
              <w:overflowPunct/>
              <w:autoSpaceDE/>
              <w:autoSpaceDN/>
              <w:adjustRightInd/>
              <w:jc w:val="center"/>
              <w:textAlignment w:val="auto"/>
              <w:rPr>
                <w:i/>
                <w:color w:val="000000" w:themeColor="text1"/>
                <w:sz w:val="20"/>
                <w:szCs w:val="18"/>
              </w:rPr>
            </w:pPr>
            <w:r w:rsidRPr="00CC48F7">
              <w:rPr>
                <w:sz w:val="20"/>
                <w:szCs w:val="18"/>
              </w:rPr>
              <w:t>2</w:t>
            </w:r>
          </w:p>
        </w:tc>
        <w:tc>
          <w:tcPr>
            <w:tcW w:w="754" w:type="dxa"/>
            <w:vAlign w:val="center"/>
          </w:tcPr>
          <w:p w14:paraId="1F1BBFA0" w14:textId="1A73CCDE"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w:t>
            </w:r>
          </w:p>
        </w:tc>
        <w:tc>
          <w:tcPr>
            <w:tcW w:w="754" w:type="dxa"/>
            <w:vAlign w:val="center"/>
          </w:tcPr>
          <w:p w14:paraId="06932BA7" w14:textId="4785B9FB"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w:t>
            </w:r>
          </w:p>
        </w:tc>
        <w:tc>
          <w:tcPr>
            <w:tcW w:w="754" w:type="dxa"/>
            <w:vAlign w:val="center"/>
          </w:tcPr>
          <w:p w14:paraId="56FE66EE" w14:textId="6488DDDD"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w:t>
            </w:r>
          </w:p>
        </w:tc>
      </w:tr>
      <w:tr w:rsidR="004D41A6" w:rsidRPr="002964D2" w14:paraId="59275761" w14:textId="77777777" w:rsidTr="001C55E7">
        <w:trPr>
          <w:trHeight w:val="340"/>
        </w:trPr>
        <w:tc>
          <w:tcPr>
            <w:tcW w:w="4357" w:type="dxa"/>
            <w:vAlign w:val="center"/>
          </w:tcPr>
          <w:p w14:paraId="698FF7CE" w14:textId="53082428" w:rsidR="004D41A6" w:rsidRPr="002964D2" w:rsidRDefault="004D41A6" w:rsidP="001C55E7">
            <w:pPr>
              <w:overflowPunct/>
              <w:autoSpaceDE/>
              <w:autoSpaceDN/>
              <w:adjustRightInd/>
              <w:spacing w:line="200" w:lineRule="exact"/>
              <w:ind w:left="306"/>
              <w:textAlignment w:val="auto"/>
              <w:rPr>
                <w:i/>
                <w:iCs/>
                <w:color w:val="000000" w:themeColor="text1"/>
                <w:sz w:val="20"/>
              </w:rPr>
            </w:pPr>
            <w:r w:rsidRPr="002964D2">
              <w:rPr>
                <w:i/>
                <w:iCs/>
                <w:color w:val="000000" w:themeColor="text1"/>
                <w:sz w:val="20"/>
              </w:rPr>
              <w:t>josta muiden hankkeiden vaikutusta</w:t>
            </w:r>
          </w:p>
        </w:tc>
        <w:tc>
          <w:tcPr>
            <w:tcW w:w="754" w:type="dxa"/>
            <w:vAlign w:val="center"/>
          </w:tcPr>
          <w:p w14:paraId="532286B5" w14:textId="66BDA22D" w:rsidR="004D41A6" w:rsidRPr="002964D2" w:rsidRDefault="004D41A6" w:rsidP="004D41A6">
            <w:pPr>
              <w:overflowPunct/>
              <w:autoSpaceDE/>
              <w:autoSpaceDN/>
              <w:adjustRightInd/>
              <w:jc w:val="center"/>
              <w:textAlignment w:val="auto"/>
              <w:rPr>
                <w:i/>
                <w:iCs/>
                <w:color w:val="000000" w:themeColor="text1"/>
                <w:sz w:val="20"/>
              </w:rPr>
            </w:pPr>
          </w:p>
        </w:tc>
        <w:tc>
          <w:tcPr>
            <w:tcW w:w="754" w:type="dxa"/>
            <w:vAlign w:val="center"/>
          </w:tcPr>
          <w:p w14:paraId="6E96A4AB" w14:textId="502385D8" w:rsidR="004D41A6" w:rsidRPr="002964D2" w:rsidRDefault="004D41A6" w:rsidP="004D41A6">
            <w:pPr>
              <w:overflowPunct/>
              <w:autoSpaceDE/>
              <w:autoSpaceDN/>
              <w:adjustRightInd/>
              <w:jc w:val="center"/>
              <w:textAlignment w:val="auto"/>
              <w:rPr>
                <w:i/>
                <w:iCs/>
                <w:color w:val="000000" w:themeColor="text1"/>
                <w:sz w:val="20"/>
              </w:rPr>
            </w:pPr>
            <w:r>
              <w:rPr>
                <w:i/>
                <w:iCs/>
                <w:color w:val="000000" w:themeColor="text1"/>
                <w:sz w:val="20"/>
              </w:rPr>
              <w:t>7</w:t>
            </w:r>
          </w:p>
        </w:tc>
        <w:tc>
          <w:tcPr>
            <w:tcW w:w="754" w:type="dxa"/>
            <w:vAlign w:val="center"/>
          </w:tcPr>
          <w:p w14:paraId="243828F0" w14:textId="2F608A30"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22</w:t>
            </w:r>
          </w:p>
        </w:tc>
        <w:tc>
          <w:tcPr>
            <w:tcW w:w="754" w:type="dxa"/>
            <w:vAlign w:val="center"/>
          </w:tcPr>
          <w:p w14:paraId="1987398F" w14:textId="59DDCC65"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18</w:t>
            </w:r>
          </w:p>
        </w:tc>
        <w:tc>
          <w:tcPr>
            <w:tcW w:w="754" w:type="dxa"/>
            <w:vAlign w:val="center"/>
          </w:tcPr>
          <w:p w14:paraId="73B7E987" w14:textId="2001993C"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w:t>
            </w:r>
          </w:p>
        </w:tc>
        <w:tc>
          <w:tcPr>
            <w:tcW w:w="754" w:type="dxa"/>
            <w:vAlign w:val="center"/>
          </w:tcPr>
          <w:p w14:paraId="7186E44A" w14:textId="2166323E"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w:t>
            </w:r>
          </w:p>
        </w:tc>
        <w:tc>
          <w:tcPr>
            <w:tcW w:w="754" w:type="dxa"/>
            <w:vAlign w:val="center"/>
          </w:tcPr>
          <w:p w14:paraId="5EF0DBA6" w14:textId="2FB75BBE" w:rsidR="004D41A6" w:rsidRPr="00CC48F7" w:rsidRDefault="004D41A6" w:rsidP="004D41A6">
            <w:pPr>
              <w:overflowPunct/>
              <w:autoSpaceDE/>
              <w:autoSpaceDN/>
              <w:adjustRightInd/>
              <w:jc w:val="center"/>
              <w:textAlignment w:val="auto"/>
              <w:rPr>
                <w:i/>
                <w:color w:val="000000" w:themeColor="text1"/>
                <w:sz w:val="20"/>
                <w:szCs w:val="18"/>
              </w:rPr>
            </w:pPr>
            <w:r w:rsidRPr="00CC48F7">
              <w:rPr>
                <w:sz w:val="20"/>
                <w:szCs w:val="18"/>
              </w:rPr>
              <w:t>-</w:t>
            </w:r>
          </w:p>
        </w:tc>
      </w:tr>
    </w:tbl>
    <w:p w14:paraId="043F476E" w14:textId="7B4FFEC7" w:rsidR="00015CA8" w:rsidRPr="001C55E7" w:rsidRDefault="001C55E7" w:rsidP="001C55E7">
      <w:pPr>
        <w:pStyle w:val="Luettelokappale"/>
        <w:numPr>
          <w:ilvl w:val="0"/>
          <w:numId w:val="32"/>
        </w:numPr>
        <w:overflowPunct/>
        <w:autoSpaceDE/>
        <w:autoSpaceDN/>
        <w:adjustRightInd/>
        <w:textAlignment w:val="auto"/>
        <w:rPr>
          <w:i/>
          <w:iCs/>
          <w:sz w:val="18"/>
          <w:szCs w:val="18"/>
        </w:rPr>
      </w:pPr>
      <w:r>
        <w:rPr>
          <w:i/>
          <w:iCs/>
          <w:sz w:val="18"/>
          <w:szCs w:val="18"/>
        </w:rPr>
        <w:t xml:space="preserve">Verotustoiminnan </w:t>
      </w:r>
      <w:r w:rsidR="00386490" w:rsidRPr="00B52016">
        <w:rPr>
          <w:i/>
          <w:iCs/>
          <w:sz w:val="18"/>
          <w:szCs w:val="18"/>
        </w:rPr>
        <w:t xml:space="preserve">TUSO-HTV-tavoitteessa on huomioitu lisäävänä eränä Tulorekisteriyksikön henkilötyön ostot Verohallinnon muista yksiköistä ostopalveluna vuodesta 2023 alkaen tasolla 20 htv per vuosi. </w:t>
      </w:r>
      <w:r w:rsidR="00015CA8" w:rsidRPr="001C55E7">
        <w:rPr>
          <w:i/>
          <w:iCs/>
          <w:sz w:val="18"/>
          <w:szCs w:val="18"/>
        </w:rPr>
        <w:t>Erillisrekisteritoimintojen henkilötyötarpeesta osa katetaan henkilötyön ostoina Verohallinnon muista yksiköistä.</w:t>
      </w:r>
    </w:p>
    <w:p w14:paraId="1883403A" w14:textId="56718E24" w:rsidR="002964D2" w:rsidRPr="0088397B" w:rsidRDefault="004D41A6" w:rsidP="00EF7060">
      <w:pPr>
        <w:pStyle w:val="Luettelokappale"/>
        <w:numPr>
          <w:ilvl w:val="0"/>
          <w:numId w:val="32"/>
        </w:numPr>
        <w:overflowPunct/>
        <w:autoSpaceDE/>
        <w:autoSpaceDN/>
        <w:adjustRightInd/>
        <w:textAlignment w:val="auto"/>
        <w:rPr>
          <w:i/>
          <w:iCs/>
          <w:sz w:val="18"/>
          <w:szCs w:val="18"/>
        </w:rPr>
      </w:pPr>
      <w:r w:rsidRPr="00B52016">
        <w:rPr>
          <w:i/>
          <w:iCs/>
          <w:sz w:val="18"/>
          <w:szCs w:val="18"/>
        </w:rPr>
        <w:t>Vuosien 2021–202</w:t>
      </w:r>
      <w:r w:rsidR="0088397B">
        <w:rPr>
          <w:i/>
          <w:iCs/>
          <w:sz w:val="18"/>
          <w:szCs w:val="18"/>
        </w:rPr>
        <w:t>4</w:t>
      </w:r>
      <w:r w:rsidRPr="00B52016">
        <w:rPr>
          <w:i/>
          <w:iCs/>
          <w:sz w:val="18"/>
          <w:szCs w:val="18"/>
        </w:rPr>
        <w:t xml:space="preserve"> työtarvetasoon sisältyy myös määräaikaista hankerahoitusta </w:t>
      </w:r>
    </w:p>
    <w:p w14:paraId="27556763" w14:textId="77777777" w:rsidR="00F84851" w:rsidRDefault="00F84851" w:rsidP="00F84851">
      <w:pPr>
        <w:pStyle w:val="Otsikko2"/>
        <w:numPr>
          <w:ilvl w:val="1"/>
          <w:numId w:val="1"/>
        </w:numPr>
      </w:pPr>
      <w:bookmarkStart w:id="24" w:name="_Toc115169800"/>
      <w:bookmarkStart w:id="25" w:name="_Toc116560500"/>
      <w:r w:rsidRPr="0E0D4665">
        <w:lastRenderedPageBreak/>
        <w:t>Strateginen henkilöstösuunnittelu</w:t>
      </w:r>
      <w:bookmarkEnd w:id="24"/>
      <w:bookmarkEnd w:id="25"/>
    </w:p>
    <w:p w14:paraId="5308FF29" w14:textId="6AE67D01" w:rsidR="00F84851" w:rsidRDefault="00F84851" w:rsidP="00F84851">
      <w:r w:rsidRPr="0E0D4665">
        <w:rPr>
          <w:rFonts w:eastAsia="Arial" w:cs="Arial"/>
          <w:szCs w:val="22"/>
        </w:rPr>
        <w:t xml:space="preserve">Strateginen henkilöstösuunnittelu muodostaa yhteyden Verohallinnon strategian, muuttuvan toimintaympäristön ja strategisen henkilöstöjohtamisen välille. Toiminnon tehtävänä on kuvata Verohallinnon strategian toteuttamiseksi tulevaisuudessa tarvittavat henkilömäärät karkealla tasolla tehtävittäin mukaan lukien strategian toteuttamisen kannalta kriittiset tehtävät sekä määrittää erot tehtävämäärien henkilötyövuositarpeissa nyky- ja tavoitetilan välillä. Tavoitteena on tuottaa yksiköille tietoa </w:t>
      </w:r>
      <w:r w:rsidR="00D97945">
        <w:rPr>
          <w:rFonts w:eastAsia="Arial" w:cs="Arial"/>
          <w:szCs w:val="22"/>
        </w:rPr>
        <w:t>t</w:t>
      </w:r>
      <w:r w:rsidRPr="0E0D4665">
        <w:rPr>
          <w:rFonts w:eastAsia="Arial" w:cs="Arial"/>
          <w:szCs w:val="22"/>
        </w:rPr>
        <w:t>ehtävien määristä ja sisällöistä</w:t>
      </w:r>
      <w:r w:rsidR="007A386A">
        <w:rPr>
          <w:rFonts w:eastAsia="Arial" w:cs="Arial"/>
          <w:szCs w:val="22"/>
        </w:rPr>
        <w:t>, ja siten</w:t>
      </w:r>
      <w:r w:rsidRPr="0E0D4665">
        <w:rPr>
          <w:rFonts w:eastAsia="Arial" w:cs="Arial"/>
          <w:szCs w:val="22"/>
        </w:rPr>
        <w:t xml:space="preserve"> toimia syötteenä henkilöstön osaamisen kehittämisen suunnittelulle ja toimenpiteille. </w:t>
      </w:r>
    </w:p>
    <w:p w14:paraId="337D2D0E" w14:textId="77777777" w:rsidR="00CC65DB" w:rsidRDefault="00CC65DB" w:rsidP="00F84851">
      <w:pPr>
        <w:rPr>
          <w:rFonts w:eastAsia="Arial" w:cs="Arial"/>
          <w:szCs w:val="22"/>
        </w:rPr>
      </w:pPr>
    </w:p>
    <w:p w14:paraId="1B31AFE6" w14:textId="61AFE1FA" w:rsidR="00F84851" w:rsidRDefault="00F84851" w:rsidP="00F84851">
      <w:pPr>
        <w:rPr>
          <w:rFonts w:eastAsia="Arial" w:cs="Arial"/>
          <w:szCs w:val="22"/>
        </w:rPr>
      </w:pPr>
      <w:r w:rsidRPr="0E0D4665">
        <w:rPr>
          <w:rFonts w:eastAsia="Arial" w:cs="Arial"/>
          <w:szCs w:val="22"/>
        </w:rPr>
        <w:t>Henkilöstön</w:t>
      </w:r>
      <w:r w:rsidR="00CF33FD">
        <w:rPr>
          <w:rFonts w:eastAsia="Arial" w:cs="Arial"/>
          <w:szCs w:val="22"/>
        </w:rPr>
        <w:t xml:space="preserve"> </w:t>
      </w:r>
      <w:r w:rsidRPr="0E0D4665">
        <w:rPr>
          <w:rFonts w:eastAsia="Arial" w:cs="Arial"/>
          <w:szCs w:val="22"/>
        </w:rPr>
        <w:t xml:space="preserve">karkean tason tehtäväkohtaisten </w:t>
      </w:r>
      <w:r w:rsidR="00CF33FD">
        <w:rPr>
          <w:rFonts w:eastAsia="Arial" w:cs="Arial"/>
          <w:szCs w:val="22"/>
        </w:rPr>
        <w:t>henkilö</w:t>
      </w:r>
      <w:r w:rsidRPr="0E0D4665">
        <w:rPr>
          <w:rFonts w:eastAsia="Arial" w:cs="Arial"/>
          <w:szCs w:val="22"/>
        </w:rPr>
        <w:t xml:space="preserve">määrien </w:t>
      </w:r>
      <w:r w:rsidR="000C619E">
        <w:rPr>
          <w:rFonts w:eastAsia="Arial" w:cs="Arial"/>
          <w:szCs w:val="22"/>
        </w:rPr>
        <w:t xml:space="preserve">nykytilan </w:t>
      </w:r>
      <w:r w:rsidRPr="0E0D4665">
        <w:rPr>
          <w:rFonts w:eastAsia="Arial" w:cs="Arial"/>
          <w:szCs w:val="22"/>
        </w:rPr>
        <w:t>kartoittamiseksi vuoden 2022 aikana jokainen verohallintolainen on kiinnitetty</w:t>
      </w:r>
      <w:r w:rsidR="002B5BBC">
        <w:rPr>
          <w:rFonts w:eastAsia="Arial" w:cs="Arial"/>
          <w:szCs w:val="22"/>
        </w:rPr>
        <w:t xml:space="preserve"> </w:t>
      </w:r>
      <w:r w:rsidRPr="0E0D4665">
        <w:rPr>
          <w:rFonts w:eastAsia="Arial" w:cs="Arial"/>
          <w:szCs w:val="22"/>
        </w:rPr>
        <w:t>tehtävärooliin</w:t>
      </w:r>
      <w:r w:rsidR="00C370AF">
        <w:rPr>
          <w:rFonts w:eastAsia="Arial" w:cs="Arial"/>
          <w:szCs w:val="22"/>
        </w:rPr>
        <w:t>. Tehtävärooli</w:t>
      </w:r>
      <w:r w:rsidRPr="0E0D4665">
        <w:rPr>
          <w:rFonts w:eastAsia="Arial" w:cs="Arial"/>
          <w:szCs w:val="22"/>
        </w:rPr>
        <w:t xml:space="preserve"> kuvaa henkilön tehtäväkokonaisuutta </w:t>
      </w:r>
      <w:r w:rsidR="00A47C14">
        <w:rPr>
          <w:rFonts w:eastAsia="Arial" w:cs="Arial"/>
          <w:szCs w:val="22"/>
        </w:rPr>
        <w:t>eli</w:t>
      </w:r>
      <w:r w:rsidRPr="0E0D4665">
        <w:rPr>
          <w:rFonts w:eastAsia="Arial" w:cs="Arial"/>
          <w:szCs w:val="22"/>
        </w:rPr>
        <w:t xml:space="preserve"> </w:t>
      </w:r>
      <w:r w:rsidR="005C3419">
        <w:rPr>
          <w:rFonts w:eastAsia="Arial" w:cs="Arial"/>
          <w:szCs w:val="22"/>
        </w:rPr>
        <w:t>kertoo karkealla tasolla</w:t>
      </w:r>
      <w:r w:rsidRPr="0E0D4665">
        <w:rPr>
          <w:rFonts w:eastAsia="Arial" w:cs="Arial"/>
          <w:szCs w:val="22"/>
        </w:rPr>
        <w:t xml:space="preserve"> mitä henkilö tekee. Henkilön tehtävärooli muuttuu pääsääntöisesti palvelussuhdemuutoksen myötä. Verohallinnossa on tunnistettu noin 150 tehtäväroolia, joista noin </w:t>
      </w:r>
      <w:r w:rsidR="001F5D12">
        <w:rPr>
          <w:rFonts w:eastAsia="Arial" w:cs="Arial"/>
          <w:szCs w:val="22"/>
        </w:rPr>
        <w:t>sata</w:t>
      </w:r>
      <w:r w:rsidRPr="0E0D4665">
        <w:rPr>
          <w:rFonts w:eastAsia="Arial" w:cs="Arial"/>
          <w:szCs w:val="22"/>
        </w:rPr>
        <w:t xml:space="preserve"> Verotusyksikössä. Joita</w:t>
      </w:r>
      <w:r w:rsidR="008741E2">
        <w:rPr>
          <w:rFonts w:eastAsia="Arial" w:cs="Arial"/>
          <w:szCs w:val="22"/>
        </w:rPr>
        <w:t>kin</w:t>
      </w:r>
      <w:r w:rsidRPr="0E0D4665">
        <w:rPr>
          <w:rFonts w:eastAsia="Arial" w:cs="Arial"/>
          <w:szCs w:val="22"/>
        </w:rPr>
        <w:t xml:space="preserve"> tehtävärooleja voi löytyä useammasta yksiköstä</w:t>
      </w:r>
      <w:r w:rsidR="008741E2">
        <w:rPr>
          <w:rFonts w:eastAsia="Arial" w:cs="Arial"/>
          <w:szCs w:val="22"/>
        </w:rPr>
        <w:t>, t</w:t>
      </w:r>
      <w:r w:rsidRPr="0E0D4665">
        <w:rPr>
          <w:rFonts w:eastAsia="Arial" w:cs="Arial"/>
          <w:szCs w:val="22"/>
        </w:rPr>
        <w:t>ällaisia</w:t>
      </w:r>
      <w:r w:rsidR="008741E2">
        <w:rPr>
          <w:rFonts w:eastAsia="Arial" w:cs="Arial"/>
          <w:szCs w:val="22"/>
        </w:rPr>
        <w:t xml:space="preserve"> rooleja</w:t>
      </w:r>
      <w:r w:rsidRPr="0E0D4665">
        <w:rPr>
          <w:rFonts w:eastAsia="Arial" w:cs="Arial"/>
          <w:szCs w:val="22"/>
        </w:rPr>
        <w:t xml:space="preserve"> ovat mm. ryhmäpäällikkö ja analyytikko.</w:t>
      </w:r>
    </w:p>
    <w:p w14:paraId="5C35C286" w14:textId="77777777" w:rsidR="00F84851" w:rsidRDefault="00F84851" w:rsidP="00F84851">
      <w:r w:rsidRPr="0E0D4665">
        <w:rPr>
          <w:rFonts w:eastAsia="Arial" w:cs="Arial"/>
          <w:szCs w:val="22"/>
        </w:rPr>
        <w:t xml:space="preserve"> </w:t>
      </w:r>
    </w:p>
    <w:p w14:paraId="157482D2" w14:textId="2A17EBDA" w:rsidR="00F84851" w:rsidRDefault="00F84851" w:rsidP="00F84851">
      <w:r w:rsidRPr="0E0D4665">
        <w:rPr>
          <w:rFonts w:eastAsia="Arial" w:cs="Arial"/>
          <w:szCs w:val="22"/>
        </w:rPr>
        <w:t>Strategi</w:t>
      </w:r>
      <w:r w:rsidR="00EC0F8B">
        <w:rPr>
          <w:rFonts w:eastAsia="Arial" w:cs="Arial"/>
          <w:szCs w:val="22"/>
        </w:rPr>
        <w:t>n</w:t>
      </w:r>
      <w:r w:rsidRPr="0E0D4665">
        <w:rPr>
          <w:rFonts w:eastAsia="Arial" w:cs="Arial"/>
          <w:szCs w:val="22"/>
        </w:rPr>
        <w:t>en henkilöstösuunnittelu</w:t>
      </w:r>
      <w:r w:rsidR="00B82F47">
        <w:rPr>
          <w:rFonts w:eastAsia="Arial" w:cs="Arial"/>
          <w:szCs w:val="22"/>
        </w:rPr>
        <w:t xml:space="preserve"> peru</w:t>
      </w:r>
      <w:r w:rsidR="00717B0D">
        <w:rPr>
          <w:rFonts w:eastAsia="Arial" w:cs="Arial"/>
          <w:szCs w:val="22"/>
        </w:rPr>
        <w:t xml:space="preserve">stuu </w:t>
      </w:r>
      <w:r w:rsidRPr="0E0D4665">
        <w:rPr>
          <w:rFonts w:eastAsia="Arial" w:cs="Arial"/>
          <w:szCs w:val="22"/>
        </w:rPr>
        <w:t>m</w:t>
      </w:r>
      <w:r w:rsidR="00B82F47">
        <w:rPr>
          <w:rFonts w:eastAsia="Arial" w:cs="Arial"/>
          <w:szCs w:val="22"/>
        </w:rPr>
        <w:t xml:space="preserve">uun muassa </w:t>
      </w:r>
      <w:r w:rsidRPr="0E0D4665">
        <w:rPr>
          <w:rFonts w:eastAsia="Arial" w:cs="Arial"/>
          <w:szCs w:val="22"/>
        </w:rPr>
        <w:t>asiakasryhmien ja prosessien tavoitetil</w:t>
      </w:r>
      <w:r w:rsidR="00640BC9">
        <w:rPr>
          <w:rFonts w:eastAsia="Arial" w:cs="Arial"/>
          <w:szCs w:val="22"/>
        </w:rPr>
        <w:t xml:space="preserve">oista </w:t>
      </w:r>
      <w:r w:rsidRPr="0E0D4665">
        <w:rPr>
          <w:rFonts w:eastAsia="Arial" w:cs="Arial"/>
          <w:szCs w:val="22"/>
        </w:rPr>
        <w:t>sekä mu</w:t>
      </w:r>
      <w:r w:rsidR="00640BC9">
        <w:rPr>
          <w:rFonts w:eastAsia="Arial" w:cs="Arial"/>
          <w:szCs w:val="22"/>
        </w:rPr>
        <w:t>ista</w:t>
      </w:r>
      <w:r w:rsidRPr="0E0D4665">
        <w:rPr>
          <w:rFonts w:eastAsia="Arial" w:cs="Arial"/>
          <w:szCs w:val="22"/>
        </w:rPr>
        <w:t xml:space="preserve"> pitkän aikavälin suunnitelm</w:t>
      </w:r>
      <w:r w:rsidR="00640BC9">
        <w:rPr>
          <w:rFonts w:eastAsia="Arial" w:cs="Arial"/>
          <w:szCs w:val="22"/>
        </w:rPr>
        <w:t>ista koottuihin tietoihin, mukaan lukien arvioidut</w:t>
      </w:r>
      <w:r w:rsidRPr="0E0D4665">
        <w:rPr>
          <w:rFonts w:eastAsia="Arial" w:cs="Arial"/>
          <w:szCs w:val="22"/>
        </w:rPr>
        <w:t xml:space="preserve"> henkilöstömuutoks</w:t>
      </w:r>
      <w:r w:rsidR="00640BC9">
        <w:rPr>
          <w:rFonts w:eastAsia="Arial" w:cs="Arial"/>
          <w:szCs w:val="22"/>
        </w:rPr>
        <w:t>et</w:t>
      </w:r>
      <w:r w:rsidRPr="0E0D4665">
        <w:rPr>
          <w:rFonts w:eastAsia="Arial" w:cs="Arial"/>
          <w:szCs w:val="22"/>
        </w:rPr>
        <w:t xml:space="preserve"> ja -vaikutuks</w:t>
      </w:r>
      <w:r w:rsidR="00640BC9">
        <w:rPr>
          <w:rFonts w:eastAsia="Arial" w:cs="Arial"/>
          <w:szCs w:val="22"/>
        </w:rPr>
        <w:t>et</w:t>
      </w:r>
      <w:r w:rsidRPr="0E0D4665">
        <w:rPr>
          <w:rFonts w:eastAsia="Arial" w:cs="Arial"/>
          <w:szCs w:val="22"/>
        </w:rPr>
        <w:t xml:space="preserve"> sekä </w:t>
      </w:r>
      <w:r w:rsidR="008F3EC9">
        <w:rPr>
          <w:rFonts w:eastAsia="Arial" w:cs="Arial"/>
          <w:szCs w:val="22"/>
        </w:rPr>
        <w:t xml:space="preserve">tunnistetut </w:t>
      </w:r>
      <w:r w:rsidRPr="0E0D4665">
        <w:rPr>
          <w:rFonts w:eastAsia="Arial" w:cs="Arial"/>
          <w:szCs w:val="22"/>
        </w:rPr>
        <w:t>osaamista</w:t>
      </w:r>
      <w:r w:rsidR="00EC0F8B">
        <w:rPr>
          <w:rFonts w:eastAsia="Arial" w:cs="Arial"/>
          <w:szCs w:val="22"/>
        </w:rPr>
        <w:t>r</w:t>
      </w:r>
      <w:r w:rsidR="008F3EC9">
        <w:rPr>
          <w:rFonts w:eastAsia="Arial" w:cs="Arial"/>
          <w:szCs w:val="22"/>
        </w:rPr>
        <w:t>pee</w:t>
      </w:r>
      <w:r w:rsidR="00640BC9">
        <w:rPr>
          <w:rFonts w:eastAsia="Arial" w:cs="Arial"/>
          <w:szCs w:val="22"/>
        </w:rPr>
        <w:t>t</w:t>
      </w:r>
      <w:r w:rsidRPr="0E0D4665">
        <w:rPr>
          <w:rFonts w:eastAsia="Arial" w:cs="Arial"/>
          <w:szCs w:val="22"/>
        </w:rPr>
        <w:t>. S</w:t>
      </w:r>
      <w:r w:rsidR="00717B0D">
        <w:rPr>
          <w:rFonts w:eastAsia="Arial" w:cs="Arial"/>
          <w:szCs w:val="22"/>
        </w:rPr>
        <w:t xml:space="preserve">uunnittelussa </w:t>
      </w:r>
      <w:r w:rsidRPr="0E0D4665">
        <w:rPr>
          <w:rFonts w:eastAsia="Arial" w:cs="Arial"/>
          <w:szCs w:val="22"/>
        </w:rPr>
        <w:t xml:space="preserve">on huomioitu myös </w:t>
      </w:r>
      <w:r w:rsidR="00074C3B">
        <w:rPr>
          <w:rFonts w:eastAsia="Arial" w:cs="Arial"/>
          <w:szCs w:val="22"/>
        </w:rPr>
        <w:t xml:space="preserve">henkilöstön </w:t>
      </w:r>
      <w:r w:rsidRPr="0E0D4665">
        <w:rPr>
          <w:rFonts w:eastAsia="Arial" w:cs="Arial"/>
          <w:szCs w:val="22"/>
        </w:rPr>
        <w:t xml:space="preserve">arvioitu eläköityminen. Näiden tietojen pohjalta on arvioitu kohdennettuja rekrytointitarpeita. </w:t>
      </w:r>
    </w:p>
    <w:p w14:paraId="31CB7A99" w14:textId="77777777" w:rsidR="00F84851" w:rsidRDefault="00F84851" w:rsidP="00F84851">
      <w:r w:rsidRPr="0E0D4665">
        <w:rPr>
          <w:rFonts w:eastAsia="Arial" w:cs="Arial"/>
          <w:szCs w:val="22"/>
        </w:rPr>
        <w:t xml:space="preserve"> </w:t>
      </w:r>
    </w:p>
    <w:p w14:paraId="662AFDEC" w14:textId="44EF5CC0" w:rsidR="00F84851" w:rsidRDefault="00F84851" w:rsidP="00F84851">
      <w:r w:rsidRPr="0E0D4665">
        <w:rPr>
          <w:rFonts w:eastAsia="Arial" w:cs="Arial"/>
          <w:szCs w:val="22"/>
        </w:rPr>
        <w:t xml:space="preserve">Verohallinnosta </w:t>
      </w:r>
      <w:r w:rsidR="007655D1">
        <w:rPr>
          <w:rFonts w:eastAsia="Arial" w:cs="Arial"/>
          <w:szCs w:val="22"/>
        </w:rPr>
        <w:t>jää eläkkeelle</w:t>
      </w:r>
      <w:r w:rsidRPr="0E0D4665">
        <w:rPr>
          <w:rFonts w:eastAsia="Arial" w:cs="Arial"/>
          <w:szCs w:val="22"/>
        </w:rPr>
        <w:t xml:space="preserve"> merkittävä määrä henkilöitä seuraavan viiden vuoden aikana</w:t>
      </w:r>
      <w:r w:rsidR="007655D1">
        <w:rPr>
          <w:rFonts w:eastAsia="Arial" w:cs="Arial"/>
          <w:szCs w:val="22"/>
        </w:rPr>
        <w:t>; l</w:t>
      </w:r>
      <w:r w:rsidRPr="0E0D4665">
        <w:rPr>
          <w:rFonts w:eastAsia="Arial" w:cs="Arial"/>
          <w:szCs w:val="22"/>
        </w:rPr>
        <w:t xml:space="preserve">askennallisesti lähes viidennes Verohallinnon nykyisestä henkilöstöstä jää eläkkeelle vuoteen 2027 mennessä. Eläköitymisen haasteena on tunnistaa ja siirtää pitkään kokemukseen perustuva osaaminen uusille </w:t>
      </w:r>
      <w:r w:rsidR="00A17417">
        <w:rPr>
          <w:rFonts w:eastAsia="Arial" w:cs="Arial"/>
          <w:szCs w:val="22"/>
        </w:rPr>
        <w:t>työn</w:t>
      </w:r>
      <w:r w:rsidRPr="0E0D4665">
        <w:rPr>
          <w:rFonts w:eastAsia="Arial" w:cs="Arial"/>
          <w:szCs w:val="22"/>
        </w:rPr>
        <w:t xml:space="preserve">tekijöille. </w:t>
      </w:r>
      <w:r w:rsidR="00A17417">
        <w:rPr>
          <w:rFonts w:eastAsia="Arial" w:cs="Arial"/>
          <w:szCs w:val="22"/>
        </w:rPr>
        <w:t>Toisaalta</w:t>
      </w:r>
      <w:r w:rsidRPr="0E0D4665">
        <w:rPr>
          <w:rFonts w:eastAsia="Arial" w:cs="Arial"/>
          <w:szCs w:val="22"/>
        </w:rPr>
        <w:t xml:space="preserve"> voimakas eläköityminen </w:t>
      </w:r>
      <w:r w:rsidR="00A17417">
        <w:rPr>
          <w:rFonts w:eastAsia="Arial" w:cs="Arial"/>
          <w:szCs w:val="22"/>
        </w:rPr>
        <w:t xml:space="preserve">omalta </w:t>
      </w:r>
      <w:r w:rsidRPr="0E0D4665">
        <w:rPr>
          <w:rFonts w:eastAsia="Arial" w:cs="Arial"/>
          <w:szCs w:val="22"/>
        </w:rPr>
        <w:t xml:space="preserve">osaltaan mahdollistaa henkilöstörakenteen muutoksen tavoitetiloja tukevaksi. </w:t>
      </w:r>
    </w:p>
    <w:p w14:paraId="1A5C255F" w14:textId="77777777" w:rsidR="00F84851" w:rsidRDefault="00F84851" w:rsidP="00F84851">
      <w:r w:rsidRPr="0E0D4665">
        <w:rPr>
          <w:rFonts w:eastAsia="Arial" w:cs="Arial"/>
          <w:szCs w:val="22"/>
        </w:rPr>
        <w:t xml:space="preserve"> </w:t>
      </w:r>
    </w:p>
    <w:p w14:paraId="5C1270CC" w14:textId="698F3E9C" w:rsidR="00F84851" w:rsidRDefault="00F84851" w:rsidP="00F84851">
      <w:r w:rsidRPr="0E0D4665">
        <w:rPr>
          <w:rFonts w:eastAsia="Arial" w:cs="Arial"/>
          <w:szCs w:val="22"/>
        </w:rPr>
        <w:t xml:space="preserve">Tämän hetken </w:t>
      </w:r>
      <w:r w:rsidR="00DA46F6">
        <w:rPr>
          <w:rFonts w:eastAsia="Arial" w:cs="Arial"/>
          <w:szCs w:val="22"/>
        </w:rPr>
        <w:t xml:space="preserve">arvioiden mukaan </w:t>
      </w:r>
      <w:r w:rsidR="00FB6FEC">
        <w:rPr>
          <w:rFonts w:eastAsia="Arial" w:cs="Arial"/>
          <w:szCs w:val="22"/>
        </w:rPr>
        <w:t>lähitulevaisuuden henkilöstövaikutukset - ja tarpeet kohdistuvat</w:t>
      </w:r>
      <w:r w:rsidRPr="0E0D4665">
        <w:rPr>
          <w:rFonts w:eastAsia="Arial" w:cs="Arial"/>
          <w:szCs w:val="22"/>
        </w:rPr>
        <w:t xml:space="preserve"> erityisesti viiteen työntekijäryhmään tai toimintoon. Henkilötyövuosien lisäystarpeita on tunnistettu analytiikassa, ICT:ssä ja kehittämistehtävissä, veroasiantuntijatehtävissä sekä verotustehtävissä. Nykyiseen nähden vähen</w:t>
      </w:r>
      <w:r w:rsidR="00CF3897">
        <w:rPr>
          <w:rFonts w:eastAsia="Arial" w:cs="Arial"/>
          <w:szCs w:val="22"/>
        </w:rPr>
        <w:t>tä</w:t>
      </w:r>
      <w:r w:rsidRPr="0E0D4665">
        <w:rPr>
          <w:rFonts w:eastAsia="Arial" w:cs="Arial"/>
          <w:szCs w:val="22"/>
        </w:rPr>
        <w:t xml:space="preserve">mistarpeita on tunnistettu niin ikään verotustehtävissä. Lisäksi on tunnistettu osaamistarpeen kasvua, kohdistuen laajasti verotustyötä tekeviin. </w:t>
      </w:r>
    </w:p>
    <w:p w14:paraId="4A7E204B" w14:textId="77777777" w:rsidR="00F84851" w:rsidRDefault="00F84851" w:rsidP="00F84851">
      <w:r w:rsidRPr="0E0D4665">
        <w:rPr>
          <w:rFonts w:eastAsia="Arial" w:cs="Arial"/>
          <w:szCs w:val="22"/>
        </w:rPr>
        <w:t xml:space="preserve"> </w:t>
      </w:r>
    </w:p>
    <w:p w14:paraId="63A9C372" w14:textId="66EA3664" w:rsidR="00F84851" w:rsidRDefault="00F84851" w:rsidP="00F84851">
      <w:pPr>
        <w:rPr>
          <w:rFonts w:eastAsia="Arial" w:cs="Arial"/>
          <w:szCs w:val="22"/>
        </w:rPr>
      </w:pPr>
      <w:r w:rsidRPr="0E0D4665">
        <w:rPr>
          <w:rFonts w:eastAsia="Arial" w:cs="Arial"/>
          <w:szCs w:val="22"/>
        </w:rPr>
        <w:t>Strategis</w:t>
      </w:r>
      <w:r w:rsidR="002C425E">
        <w:rPr>
          <w:rFonts w:eastAsia="Arial" w:cs="Arial"/>
          <w:szCs w:val="22"/>
        </w:rPr>
        <w:t>ta</w:t>
      </w:r>
      <w:r w:rsidRPr="0E0D4665">
        <w:rPr>
          <w:rFonts w:eastAsia="Arial" w:cs="Arial"/>
          <w:szCs w:val="22"/>
        </w:rPr>
        <w:t xml:space="preserve"> henkilöstösuunnit</w:t>
      </w:r>
      <w:r w:rsidR="002C425E">
        <w:rPr>
          <w:rFonts w:eastAsia="Arial" w:cs="Arial"/>
          <w:szCs w:val="22"/>
        </w:rPr>
        <w:t xml:space="preserve">elmaa </w:t>
      </w:r>
      <w:r w:rsidR="00A26324">
        <w:rPr>
          <w:rFonts w:eastAsia="Arial" w:cs="Arial"/>
          <w:szCs w:val="22"/>
        </w:rPr>
        <w:t>päivitetää</w:t>
      </w:r>
      <w:r w:rsidR="002C425E">
        <w:rPr>
          <w:rFonts w:eastAsia="Arial" w:cs="Arial"/>
          <w:szCs w:val="22"/>
        </w:rPr>
        <w:t>n vielä</w:t>
      </w:r>
      <w:r w:rsidR="00C87B23">
        <w:rPr>
          <w:rFonts w:eastAsia="Arial" w:cs="Arial"/>
          <w:szCs w:val="22"/>
        </w:rPr>
        <w:t xml:space="preserve"> </w:t>
      </w:r>
      <w:r w:rsidRPr="0E0D4665">
        <w:rPr>
          <w:rFonts w:eastAsia="Arial" w:cs="Arial"/>
          <w:szCs w:val="22"/>
        </w:rPr>
        <w:t xml:space="preserve">vuoden 2022 aikana tavoitetilojen ja muiden pitkän aikavälin suunnitelmien </w:t>
      </w:r>
      <w:r w:rsidR="00A26324">
        <w:rPr>
          <w:rFonts w:eastAsia="Arial" w:cs="Arial"/>
          <w:szCs w:val="22"/>
        </w:rPr>
        <w:t>tarkentuessa</w:t>
      </w:r>
      <w:r w:rsidRPr="0E0D4665">
        <w:rPr>
          <w:rFonts w:eastAsia="Arial" w:cs="Arial"/>
          <w:szCs w:val="22"/>
        </w:rPr>
        <w:t>.</w:t>
      </w:r>
    </w:p>
    <w:p w14:paraId="24DB6B5C" w14:textId="77777777" w:rsidR="00757DD6" w:rsidRDefault="00757DD6" w:rsidP="00F84851">
      <w:pPr>
        <w:rPr>
          <w:rFonts w:eastAsia="Arial" w:cs="Arial"/>
          <w:szCs w:val="22"/>
        </w:rPr>
      </w:pPr>
    </w:p>
    <w:p w14:paraId="6127F395" w14:textId="77777777" w:rsidR="00757DD6" w:rsidRPr="00757DD6" w:rsidRDefault="00757DD6" w:rsidP="00757DD6">
      <w:pPr>
        <w:pStyle w:val="Otsikko2"/>
        <w:numPr>
          <w:ilvl w:val="1"/>
          <w:numId w:val="1"/>
        </w:numPr>
      </w:pPr>
      <w:bookmarkStart w:id="26" w:name="_Toc116560501"/>
      <w:r w:rsidRPr="00757DD6">
        <w:t>Henkilöstöjohtamisen ja työntekijäkokemuksen kehittäminen</w:t>
      </w:r>
      <w:bookmarkEnd w:id="26"/>
    </w:p>
    <w:p w14:paraId="54B886A6" w14:textId="0CB2FBB5" w:rsidR="00757DD6" w:rsidRPr="00757DD6" w:rsidRDefault="00757DD6" w:rsidP="00757DD6">
      <w:pPr>
        <w:rPr>
          <w:rFonts w:eastAsia="Arial" w:cs="Arial"/>
          <w:szCs w:val="22"/>
        </w:rPr>
      </w:pPr>
      <w:r w:rsidRPr="00757DD6">
        <w:rPr>
          <w:rFonts w:eastAsia="Arial" w:cs="Arial"/>
          <w:szCs w:val="22"/>
        </w:rPr>
        <w:t xml:space="preserve">Henkilöstöjohtaminen ja työntekijäkokemus on tunnistettu olennaisiksi strategisiksi elementeiksi Verohallinnossa. Henkilöstöjohtamisen tuki (HR-palvelut) on organisoitu </w:t>
      </w:r>
      <w:r w:rsidR="00865AE6">
        <w:rPr>
          <w:rFonts w:eastAsia="Arial" w:cs="Arial"/>
          <w:szCs w:val="22"/>
        </w:rPr>
        <w:t xml:space="preserve">uudelleen </w:t>
      </w:r>
      <w:r w:rsidRPr="00757DD6">
        <w:rPr>
          <w:rFonts w:eastAsia="Arial" w:cs="Arial"/>
          <w:szCs w:val="22"/>
        </w:rPr>
        <w:t>vuonna 2022. Uudistetut rakenteet mahdollistavat sen, että henkilöstöjohtamisen ja työntekijäkokemuksen kehittämi</w:t>
      </w:r>
      <w:r w:rsidR="00561C68">
        <w:rPr>
          <w:rFonts w:eastAsia="Arial" w:cs="Arial"/>
          <w:szCs w:val="22"/>
        </w:rPr>
        <w:t>sellä voidaan tukea</w:t>
      </w:r>
      <w:r w:rsidR="00847C6E">
        <w:rPr>
          <w:rFonts w:eastAsia="Arial" w:cs="Arial"/>
          <w:szCs w:val="22"/>
        </w:rPr>
        <w:t xml:space="preserve"> nykyistä paremmin</w:t>
      </w:r>
      <w:r w:rsidRPr="00757DD6">
        <w:rPr>
          <w:rFonts w:eastAsia="Arial" w:cs="Arial"/>
          <w:szCs w:val="22"/>
        </w:rPr>
        <w:t xml:space="preserve"> Verohallinnon toimintaa ja tavoitteita. Uusi HR-ohjausryhmä ottaa henkilöstöjohtamisen ja työntekijäkokemuksen kehittämisen ohjausvastuun </w:t>
      </w:r>
      <w:r w:rsidR="00D71078">
        <w:rPr>
          <w:rFonts w:eastAsia="Arial" w:cs="Arial"/>
          <w:szCs w:val="22"/>
        </w:rPr>
        <w:t>kuluvan vuoden</w:t>
      </w:r>
      <w:r w:rsidRPr="00757DD6">
        <w:rPr>
          <w:rFonts w:eastAsia="Arial" w:cs="Arial"/>
          <w:szCs w:val="22"/>
        </w:rPr>
        <w:t xml:space="preserve"> aikana. </w:t>
      </w:r>
      <w:r w:rsidR="005558AD">
        <w:rPr>
          <w:rFonts w:eastAsia="Arial" w:cs="Arial"/>
          <w:szCs w:val="22"/>
        </w:rPr>
        <w:t>Tämän vuoden aikana tehdään myös s</w:t>
      </w:r>
      <w:r w:rsidRPr="00757DD6">
        <w:rPr>
          <w:rFonts w:eastAsia="Arial" w:cs="Arial"/>
          <w:szCs w:val="22"/>
        </w:rPr>
        <w:t xml:space="preserve">elvitys ja </w:t>
      </w:r>
      <w:r w:rsidR="00C10A1D">
        <w:rPr>
          <w:rFonts w:eastAsia="Arial" w:cs="Arial"/>
          <w:szCs w:val="22"/>
        </w:rPr>
        <w:t xml:space="preserve">tarkempi </w:t>
      </w:r>
      <w:r w:rsidRPr="00757DD6">
        <w:rPr>
          <w:rFonts w:eastAsia="Arial" w:cs="Arial"/>
          <w:szCs w:val="22"/>
        </w:rPr>
        <w:t>suunnit</w:t>
      </w:r>
      <w:r w:rsidR="00C10A1D">
        <w:rPr>
          <w:rFonts w:eastAsia="Arial" w:cs="Arial"/>
          <w:szCs w:val="22"/>
        </w:rPr>
        <w:t>elma</w:t>
      </w:r>
      <w:r w:rsidRPr="00757DD6">
        <w:rPr>
          <w:rFonts w:eastAsia="Arial" w:cs="Arial"/>
          <w:szCs w:val="22"/>
        </w:rPr>
        <w:t xml:space="preserve"> henkilöstöjohtamisen ja työntekijäkokemuksen kehittämisestä vuosina 2023-2027. Henkilöstöjohtaminen ja työntekijäkokemus huomioidaan Verohallinnon suunnittelussa ja päätöksenteossa, jotta niiden kehittäminen saadaan kytkettyä nykyistä paremmin Verohallinnon tarpeisiin.</w:t>
      </w:r>
    </w:p>
    <w:p w14:paraId="4612813F" w14:textId="77777777" w:rsidR="00757DD6" w:rsidRPr="00757DD6" w:rsidRDefault="00757DD6" w:rsidP="00757DD6">
      <w:pPr>
        <w:rPr>
          <w:rFonts w:eastAsia="Arial" w:cs="Arial"/>
          <w:szCs w:val="22"/>
        </w:rPr>
      </w:pPr>
    </w:p>
    <w:p w14:paraId="324CCA46" w14:textId="130DEFFD" w:rsidR="00397F92" w:rsidRPr="004E7764" w:rsidRDefault="00757DD6" w:rsidP="0057462A">
      <w:pPr>
        <w:rPr>
          <w:rFonts w:eastAsia="Arial" w:cs="Arial"/>
          <w:szCs w:val="22"/>
        </w:rPr>
      </w:pPr>
      <w:r w:rsidRPr="00757DD6">
        <w:rPr>
          <w:rFonts w:eastAsia="Arial" w:cs="Arial"/>
          <w:szCs w:val="22"/>
        </w:rPr>
        <w:t xml:space="preserve">Henkilöstöjohtamisen toiminnon "Must win" -teemoiksi on määritetty lähijohtaminen, strateginen henkilöstösuunnittelu, osaamisen kehittämisen toimintamalli sekä HR-ohjausryhmätyön toiminnan vakiinnuttaminen. </w:t>
      </w:r>
    </w:p>
    <w:sectPr w:rsidR="00397F92" w:rsidRPr="004E7764" w:rsidSect="0097760A">
      <w:headerReference w:type="default" r:id="rId12"/>
      <w:pgSz w:w="11906" w:h="16838"/>
      <w:pgMar w:top="1361" w:right="1077" w:bottom="1361"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37D2" w14:textId="77777777" w:rsidR="007F3CB0" w:rsidRDefault="007F3CB0" w:rsidP="00452C76">
      <w:r>
        <w:separator/>
      </w:r>
    </w:p>
  </w:endnote>
  <w:endnote w:type="continuationSeparator" w:id="0">
    <w:p w14:paraId="09F8C4F1" w14:textId="77777777" w:rsidR="007F3CB0" w:rsidRDefault="007F3CB0" w:rsidP="00452C76">
      <w:r>
        <w:continuationSeparator/>
      </w:r>
    </w:p>
  </w:endnote>
  <w:endnote w:type="continuationNotice" w:id="1">
    <w:p w14:paraId="730C7844" w14:textId="77777777" w:rsidR="007F3CB0" w:rsidRDefault="007F3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E275" w14:textId="77777777" w:rsidR="007F3CB0" w:rsidRDefault="007F3CB0" w:rsidP="00452C76">
      <w:r>
        <w:separator/>
      </w:r>
    </w:p>
  </w:footnote>
  <w:footnote w:type="continuationSeparator" w:id="0">
    <w:p w14:paraId="2D4FB69F" w14:textId="77777777" w:rsidR="007F3CB0" w:rsidRDefault="007F3CB0" w:rsidP="00452C76">
      <w:r>
        <w:continuationSeparator/>
      </w:r>
    </w:p>
  </w:footnote>
  <w:footnote w:type="continuationNotice" w:id="1">
    <w:p w14:paraId="1F552D6A" w14:textId="77777777" w:rsidR="007F3CB0" w:rsidRDefault="007F3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723743"/>
      <w:docPartObj>
        <w:docPartGallery w:val="Page Numbers (Top of Page)"/>
        <w:docPartUnique/>
      </w:docPartObj>
    </w:sdtPr>
    <w:sdtEndPr/>
    <w:sdtContent>
      <w:p w14:paraId="2600E218" w14:textId="7B8207E7" w:rsidR="00452C76" w:rsidRDefault="00452C76">
        <w:pPr>
          <w:pStyle w:val="Yltunniste"/>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5E628D8E" w14:textId="77777777" w:rsidR="00452C76" w:rsidRDefault="00452C7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10C"/>
    <w:multiLevelType w:val="hybridMultilevel"/>
    <w:tmpl w:val="EBBADD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2B3CDC"/>
    <w:multiLevelType w:val="hybridMultilevel"/>
    <w:tmpl w:val="0172E6EC"/>
    <w:lvl w:ilvl="0" w:tplc="13EEE896">
      <w:start w:val="1"/>
      <w:numFmt w:val="bullet"/>
      <w:lvlText w:val="−"/>
      <w:lvlJc w:val="left"/>
      <w:pPr>
        <w:tabs>
          <w:tab w:val="num" w:pos="720"/>
        </w:tabs>
        <w:ind w:left="720" w:hanging="360"/>
      </w:pPr>
      <w:rPr>
        <w:rFonts w:ascii="Arial" w:hAnsi="Arial" w:hint="default"/>
      </w:rPr>
    </w:lvl>
    <w:lvl w:ilvl="1" w:tplc="63B0AD5E" w:tentative="1">
      <w:start w:val="1"/>
      <w:numFmt w:val="bullet"/>
      <w:lvlText w:val="−"/>
      <w:lvlJc w:val="left"/>
      <w:pPr>
        <w:tabs>
          <w:tab w:val="num" w:pos="1440"/>
        </w:tabs>
        <w:ind w:left="1440" w:hanging="360"/>
      </w:pPr>
      <w:rPr>
        <w:rFonts w:ascii="Arial" w:hAnsi="Arial" w:hint="default"/>
      </w:rPr>
    </w:lvl>
    <w:lvl w:ilvl="2" w:tplc="9D7C333C" w:tentative="1">
      <w:start w:val="1"/>
      <w:numFmt w:val="bullet"/>
      <w:lvlText w:val="−"/>
      <w:lvlJc w:val="left"/>
      <w:pPr>
        <w:tabs>
          <w:tab w:val="num" w:pos="2160"/>
        </w:tabs>
        <w:ind w:left="2160" w:hanging="360"/>
      </w:pPr>
      <w:rPr>
        <w:rFonts w:ascii="Arial" w:hAnsi="Arial" w:hint="default"/>
      </w:rPr>
    </w:lvl>
    <w:lvl w:ilvl="3" w:tplc="E39EE904" w:tentative="1">
      <w:start w:val="1"/>
      <w:numFmt w:val="bullet"/>
      <w:lvlText w:val="−"/>
      <w:lvlJc w:val="left"/>
      <w:pPr>
        <w:tabs>
          <w:tab w:val="num" w:pos="2880"/>
        </w:tabs>
        <w:ind w:left="2880" w:hanging="360"/>
      </w:pPr>
      <w:rPr>
        <w:rFonts w:ascii="Arial" w:hAnsi="Arial" w:hint="default"/>
      </w:rPr>
    </w:lvl>
    <w:lvl w:ilvl="4" w:tplc="DF822F1E" w:tentative="1">
      <w:start w:val="1"/>
      <w:numFmt w:val="bullet"/>
      <w:lvlText w:val="−"/>
      <w:lvlJc w:val="left"/>
      <w:pPr>
        <w:tabs>
          <w:tab w:val="num" w:pos="3600"/>
        </w:tabs>
        <w:ind w:left="3600" w:hanging="360"/>
      </w:pPr>
      <w:rPr>
        <w:rFonts w:ascii="Arial" w:hAnsi="Arial" w:hint="default"/>
      </w:rPr>
    </w:lvl>
    <w:lvl w:ilvl="5" w:tplc="EC702070" w:tentative="1">
      <w:start w:val="1"/>
      <w:numFmt w:val="bullet"/>
      <w:lvlText w:val="−"/>
      <w:lvlJc w:val="left"/>
      <w:pPr>
        <w:tabs>
          <w:tab w:val="num" w:pos="4320"/>
        </w:tabs>
        <w:ind w:left="4320" w:hanging="360"/>
      </w:pPr>
      <w:rPr>
        <w:rFonts w:ascii="Arial" w:hAnsi="Arial" w:hint="default"/>
      </w:rPr>
    </w:lvl>
    <w:lvl w:ilvl="6" w:tplc="DAEE8298" w:tentative="1">
      <w:start w:val="1"/>
      <w:numFmt w:val="bullet"/>
      <w:lvlText w:val="−"/>
      <w:lvlJc w:val="left"/>
      <w:pPr>
        <w:tabs>
          <w:tab w:val="num" w:pos="5040"/>
        </w:tabs>
        <w:ind w:left="5040" w:hanging="360"/>
      </w:pPr>
      <w:rPr>
        <w:rFonts w:ascii="Arial" w:hAnsi="Arial" w:hint="default"/>
      </w:rPr>
    </w:lvl>
    <w:lvl w:ilvl="7" w:tplc="A13C03FA" w:tentative="1">
      <w:start w:val="1"/>
      <w:numFmt w:val="bullet"/>
      <w:lvlText w:val="−"/>
      <w:lvlJc w:val="left"/>
      <w:pPr>
        <w:tabs>
          <w:tab w:val="num" w:pos="5760"/>
        </w:tabs>
        <w:ind w:left="5760" w:hanging="360"/>
      </w:pPr>
      <w:rPr>
        <w:rFonts w:ascii="Arial" w:hAnsi="Arial" w:hint="default"/>
      </w:rPr>
    </w:lvl>
    <w:lvl w:ilvl="8" w:tplc="0AEA2E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35A29"/>
    <w:multiLevelType w:val="hybridMultilevel"/>
    <w:tmpl w:val="27D22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0B3961"/>
    <w:multiLevelType w:val="hybridMultilevel"/>
    <w:tmpl w:val="06566B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9023B8"/>
    <w:multiLevelType w:val="hybridMultilevel"/>
    <w:tmpl w:val="8C003FDC"/>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07362599"/>
    <w:multiLevelType w:val="hybridMultilevel"/>
    <w:tmpl w:val="FFFFFFFF"/>
    <w:lvl w:ilvl="0" w:tplc="C09E2472">
      <w:start w:val="1"/>
      <w:numFmt w:val="bullet"/>
      <w:lvlText w:val="−"/>
      <w:lvlJc w:val="left"/>
      <w:pPr>
        <w:ind w:left="720" w:hanging="360"/>
      </w:pPr>
      <w:rPr>
        <w:rFonts w:ascii="Arial" w:hAnsi="Arial" w:hint="default"/>
      </w:rPr>
    </w:lvl>
    <w:lvl w:ilvl="1" w:tplc="A63E3F54">
      <w:start w:val="1"/>
      <w:numFmt w:val="bullet"/>
      <w:lvlText w:val="o"/>
      <w:lvlJc w:val="left"/>
      <w:pPr>
        <w:ind w:left="1440" w:hanging="360"/>
      </w:pPr>
      <w:rPr>
        <w:rFonts w:ascii="Courier New" w:hAnsi="Courier New" w:hint="default"/>
      </w:rPr>
    </w:lvl>
    <w:lvl w:ilvl="2" w:tplc="C416380A">
      <w:start w:val="1"/>
      <w:numFmt w:val="bullet"/>
      <w:lvlText w:val=""/>
      <w:lvlJc w:val="left"/>
      <w:pPr>
        <w:ind w:left="2160" w:hanging="360"/>
      </w:pPr>
      <w:rPr>
        <w:rFonts w:ascii="Wingdings" w:hAnsi="Wingdings" w:hint="default"/>
      </w:rPr>
    </w:lvl>
    <w:lvl w:ilvl="3" w:tplc="57248178">
      <w:start w:val="1"/>
      <w:numFmt w:val="bullet"/>
      <w:lvlText w:val=""/>
      <w:lvlJc w:val="left"/>
      <w:pPr>
        <w:ind w:left="2880" w:hanging="360"/>
      </w:pPr>
      <w:rPr>
        <w:rFonts w:ascii="Symbol" w:hAnsi="Symbol" w:hint="default"/>
      </w:rPr>
    </w:lvl>
    <w:lvl w:ilvl="4" w:tplc="3C20EE40">
      <w:start w:val="1"/>
      <w:numFmt w:val="bullet"/>
      <w:lvlText w:val="o"/>
      <w:lvlJc w:val="left"/>
      <w:pPr>
        <w:ind w:left="3600" w:hanging="360"/>
      </w:pPr>
      <w:rPr>
        <w:rFonts w:ascii="Courier New" w:hAnsi="Courier New" w:hint="default"/>
      </w:rPr>
    </w:lvl>
    <w:lvl w:ilvl="5" w:tplc="973A2E26">
      <w:start w:val="1"/>
      <w:numFmt w:val="bullet"/>
      <w:lvlText w:val=""/>
      <w:lvlJc w:val="left"/>
      <w:pPr>
        <w:ind w:left="4320" w:hanging="360"/>
      </w:pPr>
      <w:rPr>
        <w:rFonts w:ascii="Wingdings" w:hAnsi="Wingdings" w:hint="default"/>
      </w:rPr>
    </w:lvl>
    <w:lvl w:ilvl="6" w:tplc="C6148190">
      <w:start w:val="1"/>
      <w:numFmt w:val="bullet"/>
      <w:lvlText w:val=""/>
      <w:lvlJc w:val="left"/>
      <w:pPr>
        <w:ind w:left="5040" w:hanging="360"/>
      </w:pPr>
      <w:rPr>
        <w:rFonts w:ascii="Symbol" w:hAnsi="Symbol" w:hint="default"/>
      </w:rPr>
    </w:lvl>
    <w:lvl w:ilvl="7" w:tplc="D1AC634E">
      <w:start w:val="1"/>
      <w:numFmt w:val="bullet"/>
      <w:lvlText w:val="o"/>
      <w:lvlJc w:val="left"/>
      <w:pPr>
        <w:ind w:left="5760" w:hanging="360"/>
      </w:pPr>
      <w:rPr>
        <w:rFonts w:ascii="Courier New" w:hAnsi="Courier New" w:hint="default"/>
      </w:rPr>
    </w:lvl>
    <w:lvl w:ilvl="8" w:tplc="1DF6A84E">
      <w:start w:val="1"/>
      <w:numFmt w:val="bullet"/>
      <w:lvlText w:val=""/>
      <w:lvlJc w:val="left"/>
      <w:pPr>
        <w:ind w:left="6480" w:hanging="360"/>
      </w:pPr>
      <w:rPr>
        <w:rFonts w:ascii="Wingdings" w:hAnsi="Wingdings" w:hint="default"/>
      </w:rPr>
    </w:lvl>
  </w:abstractNum>
  <w:abstractNum w:abstractNumId="6" w15:restartNumberingAfterBreak="0">
    <w:nsid w:val="0A5176F1"/>
    <w:multiLevelType w:val="hybridMultilevel"/>
    <w:tmpl w:val="67DA889E"/>
    <w:lvl w:ilvl="0" w:tplc="A40616D2">
      <w:start w:val="1"/>
      <w:numFmt w:val="bullet"/>
      <w:pStyle w:val="ListaVero"/>
      <w:lvlText w:val=""/>
      <w:lvlJc w:val="left"/>
      <w:pPr>
        <w:tabs>
          <w:tab w:val="num" w:pos="3761"/>
        </w:tabs>
        <w:ind w:left="3741" w:hanging="340"/>
      </w:pPr>
      <w:rPr>
        <w:rFonts w:ascii="Symbol" w:hAnsi="Symbol" w:hint="default"/>
      </w:rPr>
    </w:lvl>
    <w:lvl w:ilvl="1" w:tplc="040B0003" w:tentative="1">
      <w:start w:val="1"/>
      <w:numFmt w:val="bullet"/>
      <w:lvlText w:val="o"/>
      <w:lvlJc w:val="left"/>
      <w:pPr>
        <w:tabs>
          <w:tab w:val="num" w:pos="3140"/>
        </w:tabs>
        <w:ind w:left="3140" w:hanging="360"/>
      </w:pPr>
      <w:rPr>
        <w:rFonts w:ascii="Courier New" w:hAnsi="Courier New" w:hint="default"/>
      </w:rPr>
    </w:lvl>
    <w:lvl w:ilvl="2" w:tplc="040B0005" w:tentative="1">
      <w:start w:val="1"/>
      <w:numFmt w:val="bullet"/>
      <w:lvlText w:val=""/>
      <w:lvlJc w:val="left"/>
      <w:pPr>
        <w:tabs>
          <w:tab w:val="num" w:pos="3860"/>
        </w:tabs>
        <w:ind w:left="3860" w:hanging="360"/>
      </w:pPr>
      <w:rPr>
        <w:rFonts w:ascii="Wingdings" w:hAnsi="Wingdings" w:hint="default"/>
      </w:rPr>
    </w:lvl>
    <w:lvl w:ilvl="3" w:tplc="040B0001" w:tentative="1">
      <w:start w:val="1"/>
      <w:numFmt w:val="bullet"/>
      <w:lvlText w:val=""/>
      <w:lvlJc w:val="left"/>
      <w:pPr>
        <w:tabs>
          <w:tab w:val="num" w:pos="4580"/>
        </w:tabs>
        <w:ind w:left="4580" w:hanging="360"/>
      </w:pPr>
      <w:rPr>
        <w:rFonts w:ascii="Symbol" w:hAnsi="Symbol" w:hint="default"/>
      </w:rPr>
    </w:lvl>
    <w:lvl w:ilvl="4" w:tplc="040B0003" w:tentative="1">
      <w:start w:val="1"/>
      <w:numFmt w:val="bullet"/>
      <w:lvlText w:val="o"/>
      <w:lvlJc w:val="left"/>
      <w:pPr>
        <w:tabs>
          <w:tab w:val="num" w:pos="5300"/>
        </w:tabs>
        <w:ind w:left="5300" w:hanging="360"/>
      </w:pPr>
      <w:rPr>
        <w:rFonts w:ascii="Courier New" w:hAnsi="Courier New" w:hint="default"/>
      </w:rPr>
    </w:lvl>
    <w:lvl w:ilvl="5" w:tplc="040B0005" w:tentative="1">
      <w:start w:val="1"/>
      <w:numFmt w:val="bullet"/>
      <w:lvlText w:val=""/>
      <w:lvlJc w:val="left"/>
      <w:pPr>
        <w:tabs>
          <w:tab w:val="num" w:pos="6020"/>
        </w:tabs>
        <w:ind w:left="6020" w:hanging="360"/>
      </w:pPr>
      <w:rPr>
        <w:rFonts w:ascii="Wingdings" w:hAnsi="Wingdings" w:hint="default"/>
      </w:rPr>
    </w:lvl>
    <w:lvl w:ilvl="6" w:tplc="040B0001" w:tentative="1">
      <w:start w:val="1"/>
      <w:numFmt w:val="bullet"/>
      <w:lvlText w:val=""/>
      <w:lvlJc w:val="left"/>
      <w:pPr>
        <w:tabs>
          <w:tab w:val="num" w:pos="6740"/>
        </w:tabs>
        <w:ind w:left="6740" w:hanging="360"/>
      </w:pPr>
      <w:rPr>
        <w:rFonts w:ascii="Symbol" w:hAnsi="Symbol" w:hint="default"/>
      </w:rPr>
    </w:lvl>
    <w:lvl w:ilvl="7" w:tplc="040B0003" w:tentative="1">
      <w:start w:val="1"/>
      <w:numFmt w:val="bullet"/>
      <w:lvlText w:val="o"/>
      <w:lvlJc w:val="left"/>
      <w:pPr>
        <w:tabs>
          <w:tab w:val="num" w:pos="7460"/>
        </w:tabs>
        <w:ind w:left="7460" w:hanging="360"/>
      </w:pPr>
      <w:rPr>
        <w:rFonts w:ascii="Courier New" w:hAnsi="Courier New" w:hint="default"/>
      </w:rPr>
    </w:lvl>
    <w:lvl w:ilvl="8" w:tplc="040B0005" w:tentative="1">
      <w:start w:val="1"/>
      <w:numFmt w:val="bullet"/>
      <w:lvlText w:val=""/>
      <w:lvlJc w:val="left"/>
      <w:pPr>
        <w:tabs>
          <w:tab w:val="num" w:pos="8180"/>
        </w:tabs>
        <w:ind w:left="8180" w:hanging="360"/>
      </w:pPr>
      <w:rPr>
        <w:rFonts w:ascii="Wingdings" w:hAnsi="Wingdings" w:hint="default"/>
      </w:rPr>
    </w:lvl>
  </w:abstractNum>
  <w:abstractNum w:abstractNumId="7" w15:restartNumberingAfterBreak="0">
    <w:nsid w:val="141D47D2"/>
    <w:multiLevelType w:val="hybridMultilevel"/>
    <w:tmpl w:val="0A2480FA"/>
    <w:lvl w:ilvl="0" w:tplc="13EEE89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14B34EFC"/>
    <w:multiLevelType w:val="hybridMultilevel"/>
    <w:tmpl w:val="E1A623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557D81"/>
    <w:multiLevelType w:val="hybridMultilevel"/>
    <w:tmpl w:val="F5E4AD58"/>
    <w:lvl w:ilvl="0" w:tplc="13EEE89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199C271C"/>
    <w:multiLevelType w:val="hybridMultilevel"/>
    <w:tmpl w:val="18B06366"/>
    <w:lvl w:ilvl="0" w:tplc="13EEE89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FA1879"/>
    <w:multiLevelType w:val="hybridMultilevel"/>
    <w:tmpl w:val="2B84F12E"/>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1B1B21D4"/>
    <w:multiLevelType w:val="hybridMultilevel"/>
    <w:tmpl w:val="7B7A6FF2"/>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1DA57E96"/>
    <w:multiLevelType w:val="hybridMultilevel"/>
    <w:tmpl w:val="156E8F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29F7896"/>
    <w:multiLevelType w:val="hybridMultilevel"/>
    <w:tmpl w:val="1500F0DE"/>
    <w:lvl w:ilvl="0" w:tplc="1BAAA2C6">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3371CF1"/>
    <w:multiLevelType w:val="hybridMultilevel"/>
    <w:tmpl w:val="EB06E9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B8044E"/>
    <w:multiLevelType w:val="hybridMultilevel"/>
    <w:tmpl w:val="988230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28F4526"/>
    <w:multiLevelType w:val="hybridMultilevel"/>
    <w:tmpl w:val="FC46AD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E1437F9"/>
    <w:multiLevelType w:val="hybridMultilevel"/>
    <w:tmpl w:val="8C003FDC"/>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45E356DC"/>
    <w:multiLevelType w:val="hybridMultilevel"/>
    <w:tmpl w:val="E41C92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93410F1"/>
    <w:multiLevelType w:val="multilevel"/>
    <w:tmpl w:val="D572100C"/>
    <w:lvl w:ilvl="0">
      <w:start w:val="1"/>
      <w:numFmt w:val="decimal"/>
      <w:pStyle w:val="Otsikko1"/>
      <w:lvlText w:val="%1"/>
      <w:lvlJc w:val="left"/>
      <w:pPr>
        <w:tabs>
          <w:tab w:val="num" w:pos="454"/>
        </w:tabs>
        <w:ind w:left="454" w:hanging="454"/>
      </w:pPr>
      <w:rPr>
        <w:rFonts w:hint="default"/>
      </w:rPr>
    </w:lvl>
    <w:lvl w:ilvl="1">
      <w:start w:val="1"/>
      <w:numFmt w:val="decimal"/>
      <w:pStyle w:val="Otsikko2"/>
      <w:lvlText w:val="%1.%2"/>
      <w:lvlJc w:val="left"/>
      <w:pPr>
        <w:tabs>
          <w:tab w:val="num" w:pos="680"/>
        </w:tabs>
        <w:ind w:left="680" w:hanging="680"/>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2722"/>
        </w:tabs>
        <w:ind w:left="2722" w:hanging="1021"/>
      </w:pPr>
      <w:rPr>
        <w:rFonts w:hint="default"/>
      </w:rPr>
    </w:lvl>
    <w:lvl w:ilvl="5">
      <w:start w:val="1"/>
      <w:numFmt w:val="decimal"/>
      <w:pStyle w:val="Otsikko6"/>
      <w:lvlText w:val="%1.%2.%3.%4.%5.%6"/>
      <w:lvlJc w:val="left"/>
      <w:pPr>
        <w:tabs>
          <w:tab w:val="num" w:pos="3141"/>
        </w:tabs>
        <w:ind w:left="2835" w:hanging="1134"/>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21" w15:restartNumberingAfterBreak="0">
    <w:nsid w:val="4AD87915"/>
    <w:multiLevelType w:val="hybridMultilevel"/>
    <w:tmpl w:val="D2F822FC"/>
    <w:lvl w:ilvl="0" w:tplc="8BD4E862">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261"/>
        </w:tabs>
        <w:ind w:left="-261" w:hanging="360"/>
      </w:pPr>
      <w:rPr>
        <w:rFonts w:ascii="Courier New" w:hAnsi="Courier New" w:hint="default"/>
      </w:rPr>
    </w:lvl>
    <w:lvl w:ilvl="2" w:tplc="FFFFFFFF" w:tentative="1">
      <w:start w:val="1"/>
      <w:numFmt w:val="bullet"/>
      <w:lvlText w:val=""/>
      <w:lvlJc w:val="left"/>
      <w:pPr>
        <w:tabs>
          <w:tab w:val="num" w:pos="459"/>
        </w:tabs>
        <w:ind w:left="459" w:hanging="360"/>
      </w:pPr>
      <w:rPr>
        <w:rFonts w:ascii="Wingdings" w:hAnsi="Wingdings" w:hint="default"/>
      </w:rPr>
    </w:lvl>
    <w:lvl w:ilvl="3" w:tplc="FFFFFFFF" w:tentative="1">
      <w:start w:val="1"/>
      <w:numFmt w:val="bullet"/>
      <w:lvlText w:val=""/>
      <w:lvlJc w:val="left"/>
      <w:pPr>
        <w:tabs>
          <w:tab w:val="num" w:pos="1179"/>
        </w:tabs>
        <w:ind w:left="1179" w:hanging="360"/>
      </w:pPr>
      <w:rPr>
        <w:rFonts w:ascii="Symbol" w:hAnsi="Symbol" w:hint="default"/>
      </w:rPr>
    </w:lvl>
    <w:lvl w:ilvl="4" w:tplc="FFFFFFFF" w:tentative="1">
      <w:start w:val="1"/>
      <w:numFmt w:val="bullet"/>
      <w:lvlText w:val="o"/>
      <w:lvlJc w:val="left"/>
      <w:pPr>
        <w:tabs>
          <w:tab w:val="num" w:pos="1899"/>
        </w:tabs>
        <w:ind w:left="1899" w:hanging="360"/>
      </w:pPr>
      <w:rPr>
        <w:rFonts w:ascii="Courier New" w:hAnsi="Courier New" w:hint="default"/>
      </w:rPr>
    </w:lvl>
    <w:lvl w:ilvl="5" w:tplc="FFFFFFFF" w:tentative="1">
      <w:start w:val="1"/>
      <w:numFmt w:val="bullet"/>
      <w:lvlText w:val=""/>
      <w:lvlJc w:val="left"/>
      <w:pPr>
        <w:tabs>
          <w:tab w:val="num" w:pos="2619"/>
        </w:tabs>
        <w:ind w:left="2619" w:hanging="360"/>
      </w:pPr>
      <w:rPr>
        <w:rFonts w:ascii="Wingdings" w:hAnsi="Wingdings" w:hint="default"/>
      </w:rPr>
    </w:lvl>
    <w:lvl w:ilvl="6" w:tplc="FFFFFFFF" w:tentative="1">
      <w:start w:val="1"/>
      <w:numFmt w:val="bullet"/>
      <w:lvlText w:val=""/>
      <w:lvlJc w:val="left"/>
      <w:pPr>
        <w:tabs>
          <w:tab w:val="num" w:pos="3339"/>
        </w:tabs>
        <w:ind w:left="3339" w:hanging="360"/>
      </w:pPr>
      <w:rPr>
        <w:rFonts w:ascii="Symbol" w:hAnsi="Symbol" w:hint="default"/>
      </w:rPr>
    </w:lvl>
    <w:lvl w:ilvl="7" w:tplc="FFFFFFFF" w:tentative="1">
      <w:start w:val="1"/>
      <w:numFmt w:val="bullet"/>
      <w:lvlText w:val="o"/>
      <w:lvlJc w:val="left"/>
      <w:pPr>
        <w:tabs>
          <w:tab w:val="num" w:pos="4059"/>
        </w:tabs>
        <w:ind w:left="4059" w:hanging="360"/>
      </w:pPr>
      <w:rPr>
        <w:rFonts w:ascii="Courier New" w:hAnsi="Courier New" w:hint="default"/>
      </w:rPr>
    </w:lvl>
    <w:lvl w:ilvl="8" w:tplc="FFFFFFFF" w:tentative="1">
      <w:start w:val="1"/>
      <w:numFmt w:val="bullet"/>
      <w:lvlText w:val=""/>
      <w:lvlJc w:val="left"/>
      <w:pPr>
        <w:tabs>
          <w:tab w:val="num" w:pos="4779"/>
        </w:tabs>
        <w:ind w:left="4779" w:hanging="360"/>
      </w:pPr>
      <w:rPr>
        <w:rFonts w:ascii="Wingdings" w:hAnsi="Wingdings" w:hint="default"/>
      </w:rPr>
    </w:lvl>
  </w:abstractNum>
  <w:abstractNum w:abstractNumId="22" w15:restartNumberingAfterBreak="0">
    <w:nsid w:val="4D41B388"/>
    <w:multiLevelType w:val="hybridMultilevel"/>
    <w:tmpl w:val="FFFFFFFF"/>
    <w:lvl w:ilvl="0" w:tplc="85A2FD48">
      <w:start w:val="1"/>
      <w:numFmt w:val="bullet"/>
      <w:lvlText w:val="−"/>
      <w:lvlJc w:val="left"/>
      <w:pPr>
        <w:ind w:left="720" w:hanging="360"/>
      </w:pPr>
      <w:rPr>
        <w:rFonts w:ascii="Arial" w:hAnsi="Arial" w:hint="default"/>
      </w:rPr>
    </w:lvl>
    <w:lvl w:ilvl="1" w:tplc="5D7CC770">
      <w:start w:val="1"/>
      <w:numFmt w:val="bullet"/>
      <w:lvlText w:val="o"/>
      <w:lvlJc w:val="left"/>
      <w:pPr>
        <w:ind w:left="1440" w:hanging="360"/>
      </w:pPr>
      <w:rPr>
        <w:rFonts w:ascii="Courier New" w:hAnsi="Courier New" w:hint="default"/>
      </w:rPr>
    </w:lvl>
    <w:lvl w:ilvl="2" w:tplc="A5FAE168">
      <w:start w:val="1"/>
      <w:numFmt w:val="bullet"/>
      <w:lvlText w:val=""/>
      <w:lvlJc w:val="left"/>
      <w:pPr>
        <w:ind w:left="2160" w:hanging="360"/>
      </w:pPr>
      <w:rPr>
        <w:rFonts w:ascii="Wingdings" w:hAnsi="Wingdings" w:hint="default"/>
      </w:rPr>
    </w:lvl>
    <w:lvl w:ilvl="3" w:tplc="FA0894C2">
      <w:start w:val="1"/>
      <w:numFmt w:val="bullet"/>
      <w:lvlText w:val=""/>
      <w:lvlJc w:val="left"/>
      <w:pPr>
        <w:ind w:left="2880" w:hanging="360"/>
      </w:pPr>
      <w:rPr>
        <w:rFonts w:ascii="Symbol" w:hAnsi="Symbol" w:hint="default"/>
      </w:rPr>
    </w:lvl>
    <w:lvl w:ilvl="4" w:tplc="4FFCEED0">
      <w:start w:val="1"/>
      <w:numFmt w:val="bullet"/>
      <w:lvlText w:val="o"/>
      <w:lvlJc w:val="left"/>
      <w:pPr>
        <w:ind w:left="3600" w:hanging="360"/>
      </w:pPr>
      <w:rPr>
        <w:rFonts w:ascii="Courier New" w:hAnsi="Courier New" w:hint="default"/>
      </w:rPr>
    </w:lvl>
    <w:lvl w:ilvl="5" w:tplc="5CE67C56">
      <w:start w:val="1"/>
      <w:numFmt w:val="bullet"/>
      <w:lvlText w:val=""/>
      <w:lvlJc w:val="left"/>
      <w:pPr>
        <w:ind w:left="4320" w:hanging="360"/>
      </w:pPr>
      <w:rPr>
        <w:rFonts w:ascii="Wingdings" w:hAnsi="Wingdings" w:hint="default"/>
      </w:rPr>
    </w:lvl>
    <w:lvl w:ilvl="6" w:tplc="4D2CE74E">
      <w:start w:val="1"/>
      <w:numFmt w:val="bullet"/>
      <w:lvlText w:val=""/>
      <w:lvlJc w:val="left"/>
      <w:pPr>
        <w:ind w:left="5040" w:hanging="360"/>
      </w:pPr>
      <w:rPr>
        <w:rFonts w:ascii="Symbol" w:hAnsi="Symbol" w:hint="default"/>
      </w:rPr>
    </w:lvl>
    <w:lvl w:ilvl="7" w:tplc="28CEF49A">
      <w:start w:val="1"/>
      <w:numFmt w:val="bullet"/>
      <w:lvlText w:val="o"/>
      <w:lvlJc w:val="left"/>
      <w:pPr>
        <w:ind w:left="5760" w:hanging="360"/>
      </w:pPr>
      <w:rPr>
        <w:rFonts w:ascii="Courier New" w:hAnsi="Courier New" w:hint="default"/>
      </w:rPr>
    </w:lvl>
    <w:lvl w:ilvl="8" w:tplc="37C021EC">
      <w:start w:val="1"/>
      <w:numFmt w:val="bullet"/>
      <w:lvlText w:val=""/>
      <w:lvlJc w:val="left"/>
      <w:pPr>
        <w:ind w:left="6480" w:hanging="360"/>
      </w:pPr>
      <w:rPr>
        <w:rFonts w:ascii="Wingdings" w:hAnsi="Wingdings" w:hint="default"/>
      </w:rPr>
    </w:lvl>
  </w:abstractNum>
  <w:abstractNum w:abstractNumId="23" w15:restartNumberingAfterBreak="0">
    <w:nsid w:val="52584435"/>
    <w:multiLevelType w:val="hybridMultilevel"/>
    <w:tmpl w:val="F0DA62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4B783B"/>
    <w:multiLevelType w:val="hybridMultilevel"/>
    <w:tmpl w:val="7B7A6FF2"/>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564A0D1A"/>
    <w:multiLevelType w:val="hybridMultilevel"/>
    <w:tmpl w:val="7E366866"/>
    <w:lvl w:ilvl="0" w:tplc="8BD4E862">
      <w:start w:val="1"/>
      <w:numFmt w:val="decimal"/>
      <w:lvlText w:val="%1)"/>
      <w:lvlJc w:val="left"/>
      <w:pPr>
        <w:ind w:left="567" w:hanging="567"/>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8520A8B"/>
    <w:multiLevelType w:val="hybridMultilevel"/>
    <w:tmpl w:val="47421742"/>
    <w:lvl w:ilvl="0" w:tplc="040B0011">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3A8673B"/>
    <w:multiLevelType w:val="hybridMultilevel"/>
    <w:tmpl w:val="4560C4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B637090"/>
    <w:multiLevelType w:val="hybridMultilevel"/>
    <w:tmpl w:val="094C2B62"/>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737E7076"/>
    <w:multiLevelType w:val="hybridMultilevel"/>
    <w:tmpl w:val="75F4A6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4CC00F1"/>
    <w:multiLevelType w:val="hybridMultilevel"/>
    <w:tmpl w:val="9D32F6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638215B"/>
    <w:multiLevelType w:val="hybridMultilevel"/>
    <w:tmpl w:val="B76652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88E3CEC"/>
    <w:multiLevelType w:val="hybridMultilevel"/>
    <w:tmpl w:val="8BB4E0A6"/>
    <w:lvl w:ilvl="0" w:tplc="B07C26AA">
      <w:start w:val="1"/>
      <w:numFmt w:val="decimal"/>
      <w:lvlText w:val="%1."/>
      <w:lvlJc w:val="left"/>
      <w:pPr>
        <w:ind w:left="567" w:hanging="207"/>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8900751"/>
    <w:multiLevelType w:val="hybridMultilevel"/>
    <w:tmpl w:val="CB94639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93070DF"/>
    <w:multiLevelType w:val="hybridMultilevel"/>
    <w:tmpl w:val="094C2B6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0"/>
  </w:num>
  <w:num w:numId="2">
    <w:abstractNumId w:val="6"/>
  </w:num>
  <w:num w:numId="3">
    <w:abstractNumId w:val="20"/>
  </w:num>
  <w:num w:numId="4">
    <w:abstractNumId w:val="27"/>
  </w:num>
  <w:num w:numId="5">
    <w:abstractNumId w:val="1"/>
  </w:num>
  <w:num w:numId="6">
    <w:abstractNumId w:val="9"/>
  </w:num>
  <w:num w:numId="7">
    <w:abstractNumId w:val="22"/>
  </w:num>
  <w:num w:numId="8">
    <w:abstractNumId w:val="5"/>
  </w:num>
  <w:num w:numId="9">
    <w:abstractNumId w:val="19"/>
  </w:num>
  <w:num w:numId="10">
    <w:abstractNumId w:val="17"/>
  </w:num>
  <w:num w:numId="11">
    <w:abstractNumId w:val="29"/>
  </w:num>
  <w:num w:numId="12">
    <w:abstractNumId w:val="8"/>
  </w:num>
  <w:num w:numId="13">
    <w:abstractNumId w:val="2"/>
  </w:num>
  <w:num w:numId="14">
    <w:abstractNumId w:val="0"/>
  </w:num>
  <w:num w:numId="15">
    <w:abstractNumId w:val="30"/>
  </w:num>
  <w:num w:numId="16">
    <w:abstractNumId w:val="31"/>
  </w:num>
  <w:num w:numId="17">
    <w:abstractNumId w:val="23"/>
  </w:num>
  <w:num w:numId="18">
    <w:abstractNumId w:val="33"/>
  </w:num>
  <w:num w:numId="19">
    <w:abstractNumId w:val="14"/>
  </w:num>
  <w:num w:numId="20">
    <w:abstractNumId w:val="32"/>
  </w:num>
  <w:num w:numId="21">
    <w:abstractNumId w:val="4"/>
  </w:num>
  <w:num w:numId="22">
    <w:abstractNumId w:val="18"/>
  </w:num>
  <w:num w:numId="23">
    <w:abstractNumId w:val="34"/>
  </w:num>
  <w:num w:numId="24">
    <w:abstractNumId w:val="28"/>
  </w:num>
  <w:num w:numId="25">
    <w:abstractNumId w:val="24"/>
  </w:num>
  <w:num w:numId="26">
    <w:abstractNumId w:val="11"/>
  </w:num>
  <w:num w:numId="27">
    <w:abstractNumId w:val="12"/>
  </w:num>
  <w:num w:numId="28">
    <w:abstractNumId w:val="13"/>
  </w:num>
  <w:num w:numId="29">
    <w:abstractNumId w:val="20"/>
  </w:num>
  <w:num w:numId="30">
    <w:abstractNumId w:val="20"/>
  </w:num>
  <w:num w:numId="31">
    <w:abstractNumId w:val="16"/>
  </w:num>
  <w:num w:numId="32">
    <w:abstractNumId w:val="26"/>
  </w:num>
  <w:num w:numId="33">
    <w:abstractNumId w:val="15"/>
  </w:num>
  <w:num w:numId="34">
    <w:abstractNumId w:val="3"/>
  </w:num>
  <w:num w:numId="35">
    <w:abstractNumId w:val="25"/>
  </w:num>
  <w:num w:numId="36">
    <w:abstractNumId w:val="10"/>
  </w:num>
  <w:num w:numId="37">
    <w:abstractNumId w:val="21"/>
  </w:num>
  <w:num w:numId="3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29"/>
    <w:rsid w:val="0000086C"/>
    <w:rsid w:val="00000ADF"/>
    <w:rsid w:val="00001E6E"/>
    <w:rsid w:val="0000469F"/>
    <w:rsid w:val="0000473D"/>
    <w:rsid w:val="000047FB"/>
    <w:rsid w:val="00004DF0"/>
    <w:rsid w:val="000057CC"/>
    <w:rsid w:val="0000636E"/>
    <w:rsid w:val="00010234"/>
    <w:rsid w:val="0001064C"/>
    <w:rsid w:val="00011FFF"/>
    <w:rsid w:val="00012639"/>
    <w:rsid w:val="00013383"/>
    <w:rsid w:val="00014575"/>
    <w:rsid w:val="00015BCB"/>
    <w:rsid w:val="00015CA8"/>
    <w:rsid w:val="000201EB"/>
    <w:rsid w:val="00021E05"/>
    <w:rsid w:val="000262F1"/>
    <w:rsid w:val="00030D89"/>
    <w:rsid w:val="00031787"/>
    <w:rsid w:val="0003256C"/>
    <w:rsid w:val="00032D3D"/>
    <w:rsid w:val="0003798E"/>
    <w:rsid w:val="00043274"/>
    <w:rsid w:val="00043299"/>
    <w:rsid w:val="00043449"/>
    <w:rsid w:val="00046CB6"/>
    <w:rsid w:val="00046DE7"/>
    <w:rsid w:val="00051D8F"/>
    <w:rsid w:val="00054353"/>
    <w:rsid w:val="00054A8E"/>
    <w:rsid w:val="00054B41"/>
    <w:rsid w:val="000611B9"/>
    <w:rsid w:val="0007038A"/>
    <w:rsid w:val="00070406"/>
    <w:rsid w:val="00070896"/>
    <w:rsid w:val="00070F20"/>
    <w:rsid w:val="00074C3B"/>
    <w:rsid w:val="00075803"/>
    <w:rsid w:val="00081195"/>
    <w:rsid w:val="00082D38"/>
    <w:rsid w:val="00085F40"/>
    <w:rsid w:val="00086098"/>
    <w:rsid w:val="00086B02"/>
    <w:rsid w:val="00090706"/>
    <w:rsid w:val="0009096B"/>
    <w:rsid w:val="0009308C"/>
    <w:rsid w:val="000955F4"/>
    <w:rsid w:val="000961C5"/>
    <w:rsid w:val="000964A9"/>
    <w:rsid w:val="000970EC"/>
    <w:rsid w:val="00097B62"/>
    <w:rsid w:val="000A1753"/>
    <w:rsid w:val="000A3858"/>
    <w:rsid w:val="000A47BF"/>
    <w:rsid w:val="000A542F"/>
    <w:rsid w:val="000A73D2"/>
    <w:rsid w:val="000B0231"/>
    <w:rsid w:val="000B2559"/>
    <w:rsid w:val="000B2D1B"/>
    <w:rsid w:val="000B4FF3"/>
    <w:rsid w:val="000C023E"/>
    <w:rsid w:val="000C08DC"/>
    <w:rsid w:val="000C0A9F"/>
    <w:rsid w:val="000C1F46"/>
    <w:rsid w:val="000C4A17"/>
    <w:rsid w:val="000C619E"/>
    <w:rsid w:val="000C783C"/>
    <w:rsid w:val="000E13A1"/>
    <w:rsid w:val="000E20A2"/>
    <w:rsid w:val="000E44CC"/>
    <w:rsid w:val="000E652C"/>
    <w:rsid w:val="000E71B5"/>
    <w:rsid w:val="000F0238"/>
    <w:rsid w:val="000F0D4C"/>
    <w:rsid w:val="000F1B53"/>
    <w:rsid w:val="000F61F9"/>
    <w:rsid w:val="001003CB"/>
    <w:rsid w:val="001013F9"/>
    <w:rsid w:val="00101724"/>
    <w:rsid w:val="001039BE"/>
    <w:rsid w:val="001050D8"/>
    <w:rsid w:val="001051E2"/>
    <w:rsid w:val="001055F5"/>
    <w:rsid w:val="00105C3B"/>
    <w:rsid w:val="001105EA"/>
    <w:rsid w:val="001124BC"/>
    <w:rsid w:val="00115A89"/>
    <w:rsid w:val="00115D09"/>
    <w:rsid w:val="00116500"/>
    <w:rsid w:val="001171F9"/>
    <w:rsid w:val="00117EB2"/>
    <w:rsid w:val="00120EEC"/>
    <w:rsid w:val="00122EE7"/>
    <w:rsid w:val="001236D3"/>
    <w:rsid w:val="001236F1"/>
    <w:rsid w:val="00125242"/>
    <w:rsid w:val="00125E98"/>
    <w:rsid w:val="0012635C"/>
    <w:rsid w:val="0012643D"/>
    <w:rsid w:val="00127D2A"/>
    <w:rsid w:val="0013034E"/>
    <w:rsid w:val="00130F3C"/>
    <w:rsid w:val="001310BD"/>
    <w:rsid w:val="00132205"/>
    <w:rsid w:val="00133111"/>
    <w:rsid w:val="00134A91"/>
    <w:rsid w:val="0013589A"/>
    <w:rsid w:val="001368E3"/>
    <w:rsid w:val="001405B2"/>
    <w:rsid w:val="001413C0"/>
    <w:rsid w:val="00146DE9"/>
    <w:rsid w:val="0014794C"/>
    <w:rsid w:val="00150CA8"/>
    <w:rsid w:val="00150CAF"/>
    <w:rsid w:val="00153DC8"/>
    <w:rsid w:val="001544BC"/>
    <w:rsid w:val="0015469E"/>
    <w:rsid w:val="0015557D"/>
    <w:rsid w:val="00157458"/>
    <w:rsid w:val="00160A47"/>
    <w:rsid w:val="001624D1"/>
    <w:rsid w:val="001624EE"/>
    <w:rsid w:val="00162F72"/>
    <w:rsid w:val="0016486E"/>
    <w:rsid w:val="001650D7"/>
    <w:rsid w:val="00165150"/>
    <w:rsid w:val="00165766"/>
    <w:rsid w:val="001658D6"/>
    <w:rsid w:val="00167872"/>
    <w:rsid w:val="001713CD"/>
    <w:rsid w:val="00173989"/>
    <w:rsid w:val="00173C22"/>
    <w:rsid w:val="001743B0"/>
    <w:rsid w:val="001747F6"/>
    <w:rsid w:val="00177C0C"/>
    <w:rsid w:val="00180A55"/>
    <w:rsid w:val="00180EF1"/>
    <w:rsid w:val="00181773"/>
    <w:rsid w:val="001823DD"/>
    <w:rsid w:val="001825B7"/>
    <w:rsid w:val="00183C2F"/>
    <w:rsid w:val="00183E82"/>
    <w:rsid w:val="001854CC"/>
    <w:rsid w:val="001859D9"/>
    <w:rsid w:val="0018A157"/>
    <w:rsid w:val="00193AB7"/>
    <w:rsid w:val="00194DC6"/>
    <w:rsid w:val="00196182"/>
    <w:rsid w:val="00196390"/>
    <w:rsid w:val="00196FCF"/>
    <w:rsid w:val="001A0C05"/>
    <w:rsid w:val="001A1835"/>
    <w:rsid w:val="001A42C4"/>
    <w:rsid w:val="001A4E7D"/>
    <w:rsid w:val="001A5271"/>
    <w:rsid w:val="001A5947"/>
    <w:rsid w:val="001A5CEE"/>
    <w:rsid w:val="001A6D7C"/>
    <w:rsid w:val="001A6F3E"/>
    <w:rsid w:val="001A7536"/>
    <w:rsid w:val="001A7EC2"/>
    <w:rsid w:val="001B0616"/>
    <w:rsid w:val="001B2293"/>
    <w:rsid w:val="001B57BE"/>
    <w:rsid w:val="001B7473"/>
    <w:rsid w:val="001B7E4A"/>
    <w:rsid w:val="001C15F3"/>
    <w:rsid w:val="001C2DED"/>
    <w:rsid w:val="001C36B9"/>
    <w:rsid w:val="001C42FA"/>
    <w:rsid w:val="001C55E7"/>
    <w:rsid w:val="001C66EE"/>
    <w:rsid w:val="001D2CF2"/>
    <w:rsid w:val="001D3931"/>
    <w:rsid w:val="001D549E"/>
    <w:rsid w:val="001D56BA"/>
    <w:rsid w:val="001D692F"/>
    <w:rsid w:val="001E0A99"/>
    <w:rsid w:val="001E4F74"/>
    <w:rsid w:val="001F15AF"/>
    <w:rsid w:val="001F1E3A"/>
    <w:rsid w:val="001F4502"/>
    <w:rsid w:val="001F5C22"/>
    <w:rsid w:val="001F5D12"/>
    <w:rsid w:val="0020053D"/>
    <w:rsid w:val="002074C8"/>
    <w:rsid w:val="00207A50"/>
    <w:rsid w:val="002100F0"/>
    <w:rsid w:val="0021206D"/>
    <w:rsid w:val="0021294E"/>
    <w:rsid w:val="00215D42"/>
    <w:rsid w:val="00216B47"/>
    <w:rsid w:val="00217030"/>
    <w:rsid w:val="00217B93"/>
    <w:rsid w:val="002212A8"/>
    <w:rsid w:val="00221327"/>
    <w:rsid w:val="002214CD"/>
    <w:rsid w:val="00221E46"/>
    <w:rsid w:val="00223164"/>
    <w:rsid w:val="00225A0D"/>
    <w:rsid w:val="00225BAD"/>
    <w:rsid w:val="00225E7D"/>
    <w:rsid w:val="00233726"/>
    <w:rsid w:val="0023457B"/>
    <w:rsid w:val="00237E1C"/>
    <w:rsid w:val="00243FE0"/>
    <w:rsid w:val="00244708"/>
    <w:rsid w:val="002476ED"/>
    <w:rsid w:val="00250A7F"/>
    <w:rsid w:val="00250EF8"/>
    <w:rsid w:val="00251792"/>
    <w:rsid w:val="002526DB"/>
    <w:rsid w:val="00252EB3"/>
    <w:rsid w:val="00254938"/>
    <w:rsid w:val="00254C24"/>
    <w:rsid w:val="00256A60"/>
    <w:rsid w:val="00257953"/>
    <w:rsid w:val="00257A0B"/>
    <w:rsid w:val="00257F16"/>
    <w:rsid w:val="0026111E"/>
    <w:rsid w:val="00261860"/>
    <w:rsid w:val="002652C0"/>
    <w:rsid w:val="002700C0"/>
    <w:rsid w:val="002707C0"/>
    <w:rsid w:val="00270BA7"/>
    <w:rsid w:val="0027237F"/>
    <w:rsid w:val="002749A6"/>
    <w:rsid w:val="002765A6"/>
    <w:rsid w:val="00277361"/>
    <w:rsid w:val="00277974"/>
    <w:rsid w:val="00282F0D"/>
    <w:rsid w:val="002857D6"/>
    <w:rsid w:val="0029142F"/>
    <w:rsid w:val="00293069"/>
    <w:rsid w:val="002937A4"/>
    <w:rsid w:val="002943FC"/>
    <w:rsid w:val="002964D2"/>
    <w:rsid w:val="002968B4"/>
    <w:rsid w:val="00297B51"/>
    <w:rsid w:val="00297D6B"/>
    <w:rsid w:val="002A4D43"/>
    <w:rsid w:val="002A66D8"/>
    <w:rsid w:val="002B0B83"/>
    <w:rsid w:val="002B3BFF"/>
    <w:rsid w:val="002B52DB"/>
    <w:rsid w:val="002B5BBC"/>
    <w:rsid w:val="002B5F10"/>
    <w:rsid w:val="002C0B11"/>
    <w:rsid w:val="002C15B9"/>
    <w:rsid w:val="002C17BA"/>
    <w:rsid w:val="002C1B53"/>
    <w:rsid w:val="002C425E"/>
    <w:rsid w:val="002D0260"/>
    <w:rsid w:val="002D0921"/>
    <w:rsid w:val="002D16D2"/>
    <w:rsid w:val="002D27BE"/>
    <w:rsid w:val="002D2A6E"/>
    <w:rsid w:val="002D426A"/>
    <w:rsid w:val="002D4644"/>
    <w:rsid w:val="002D62F6"/>
    <w:rsid w:val="002D69D0"/>
    <w:rsid w:val="002E2E61"/>
    <w:rsid w:val="002E3669"/>
    <w:rsid w:val="002E464C"/>
    <w:rsid w:val="002F22E8"/>
    <w:rsid w:val="002F29ED"/>
    <w:rsid w:val="002F375C"/>
    <w:rsid w:val="002F40F8"/>
    <w:rsid w:val="002F467B"/>
    <w:rsid w:val="002F4748"/>
    <w:rsid w:val="002F501E"/>
    <w:rsid w:val="002F5393"/>
    <w:rsid w:val="002F6999"/>
    <w:rsid w:val="003004DE"/>
    <w:rsid w:val="00300644"/>
    <w:rsid w:val="00301559"/>
    <w:rsid w:val="00301CA8"/>
    <w:rsid w:val="00303882"/>
    <w:rsid w:val="003067BE"/>
    <w:rsid w:val="003102F0"/>
    <w:rsid w:val="00310EAE"/>
    <w:rsid w:val="00311B10"/>
    <w:rsid w:val="00312A2D"/>
    <w:rsid w:val="00314631"/>
    <w:rsid w:val="003148A2"/>
    <w:rsid w:val="0031566A"/>
    <w:rsid w:val="0031644B"/>
    <w:rsid w:val="003200EB"/>
    <w:rsid w:val="00321B84"/>
    <w:rsid w:val="003300AA"/>
    <w:rsid w:val="00330C4E"/>
    <w:rsid w:val="00330CED"/>
    <w:rsid w:val="0033133E"/>
    <w:rsid w:val="00333946"/>
    <w:rsid w:val="00334CDE"/>
    <w:rsid w:val="00336DC8"/>
    <w:rsid w:val="00337A8C"/>
    <w:rsid w:val="003427C1"/>
    <w:rsid w:val="00342C59"/>
    <w:rsid w:val="003439E0"/>
    <w:rsid w:val="003444B4"/>
    <w:rsid w:val="00344682"/>
    <w:rsid w:val="00344698"/>
    <w:rsid w:val="00344F78"/>
    <w:rsid w:val="0034599C"/>
    <w:rsid w:val="00350499"/>
    <w:rsid w:val="00350AE1"/>
    <w:rsid w:val="00352746"/>
    <w:rsid w:val="00355013"/>
    <w:rsid w:val="00357243"/>
    <w:rsid w:val="003601E9"/>
    <w:rsid w:val="0036320E"/>
    <w:rsid w:val="003640AD"/>
    <w:rsid w:val="0036446D"/>
    <w:rsid w:val="00373378"/>
    <w:rsid w:val="003734F9"/>
    <w:rsid w:val="0037400D"/>
    <w:rsid w:val="003741E2"/>
    <w:rsid w:val="00375060"/>
    <w:rsid w:val="003753CF"/>
    <w:rsid w:val="0037572C"/>
    <w:rsid w:val="00376690"/>
    <w:rsid w:val="00380C91"/>
    <w:rsid w:val="00381EAB"/>
    <w:rsid w:val="00382D61"/>
    <w:rsid w:val="0038406F"/>
    <w:rsid w:val="00386490"/>
    <w:rsid w:val="00387176"/>
    <w:rsid w:val="00387DA2"/>
    <w:rsid w:val="00390C04"/>
    <w:rsid w:val="00390EE1"/>
    <w:rsid w:val="003920B1"/>
    <w:rsid w:val="00392AAC"/>
    <w:rsid w:val="00394F31"/>
    <w:rsid w:val="00397401"/>
    <w:rsid w:val="00397F92"/>
    <w:rsid w:val="003A156F"/>
    <w:rsid w:val="003A33EA"/>
    <w:rsid w:val="003A62E9"/>
    <w:rsid w:val="003A7BAC"/>
    <w:rsid w:val="003A7D7F"/>
    <w:rsid w:val="003B17CA"/>
    <w:rsid w:val="003B1CE5"/>
    <w:rsid w:val="003B2D83"/>
    <w:rsid w:val="003B43A1"/>
    <w:rsid w:val="003B4BF1"/>
    <w:rsid w:val="003B67E2"/>
    <w:rsid w:val="003C18CF"/>
    <w:rsid w:val="003C3911"/>
    <w:rsid w:val="003C54FB"/>
    <w:rsid w:val="003C622E"/>
    <w:rsid w:val="003D635F"/>
    <w:rsid w:val="003D6CCE"/>
    <w:rsid w:val="003E095A"/>
    <w:rsid w:val="003E0979"/>
    <w:rsid w:val="003E0C1E"/>
    <w:rsid w:val="003E3A99"/>
    <w:rsid w:val="003E430C"/>
    <w:rsid w:val="003E4859"/>
    <w:rsid w:val="003E4920"/>
    <w:rsid w:val="003E5838"/>
    <w:rsid w:val="003E60D5"/>
    <w:rsid w:val="003E71EC"/>
    <w:rsid w:val="003E78D0"/>
    <w:rsid w:val="003E7D65"/>
    <w:rsid w:val="003F0A6E"/>
    <w:rsid w:val="003F4002"/>
    <w:rsid w:val="003F59ED"/>
    <w:rsid w:val="003F6BAE"/>
    <w:rsid w:val="003F734D"/>
    <w:rsid w:val="00402735"/>
    <w:rsid w:val="004045F7"/>
    <w:rsid w:val="004101B5"/>
    <w:rsid w:val="00413B71"/>
    <w:rsid w:val="0041511B"/>
    <w:rsid w:val="00415E0E"/>
    <w:rsid w:val="00415F27"/>
    <w:rsid w:val="00416BBD"/>
    <w:rsid w:val="00420097"/>
    <w:rsid w:val="0042200B"/>
    <w:rsid w:val="0042206A"/>
    <w:rsid w:val="004221BA"/>
    <w:rsid w:val="00422453"/>
    <w:rsid w:val="004232D8"/>
    <w:rsid w:val="0042366F"/>
    <w:rsid w:val="00424726"/>
    <w:rsid w:val="004248FC"/>
    <w:rsid w:val="00426D80"/>
    <w:rsid w:val="00430A1F"/>
    <w:rsid w:val="00431F37"/>
    <w:rsid w:val="004347A8"/>
    <w:rsid w:val="00440116"/>
    <w:rsid w:val="00440183"/>
    <w:rsid w:val="0044121E"/>
    <w:rsid w:val="00443265"/>
    <w:rsid w:val="00444997"/>
    <w:rsid w:val="00445B6B"/>
    <w:rsid w:val="00447C2F"/>
    <w:rsid w:val="00451984"/>
    <w:rsid w:val="00451AAC"/>
    <w:rsid w:val="004527B3"/>
    <w:rsid w:val="00452C76"/>
    <w:rsid w:val="00453205"/>
    <w:rsid w:val="004551A5"/>
    <w:rsid w:val="0046245B"/>
    <w:rsid w:val="004629F5"/>
    <w:rsid w:val="00463A89"/>
    <w:rsid w:val="00464ACD"/>
    <w:rsid w:val="00465393"/>
    <w:rsid w:val="00466232"/>
    <w:rsid w:val="0047162A"/>
    <w:rsid w:val="00471810"/>
    <w:rsid w:val="004733F1"/>
    <w:rsid w:val="004745DC"/>
    <w:rsid w:val="004764C5"/>
    <w:rsid w:val="0048029E"/>
    <w:rsid w:val="00481FC5"/>
    <w:rsid w:val="0048266D"/>
    <w:rsid w:val="0048374C"/>
    <w:rsid w:val="004858CF"/>
    <w:rsid w:val="00485F33"/>
    <w:rsid w:val="00494F59"/>
    <w:rsid w:val="004958AE"/>
    <w:rsid w:val="004963E9"/>
    <w:rsid w:val="004A44A3"/>
    <w:rsid w:val="004A4F80"/>
    <w:rsid w:val="004B0E77"/>
    <w:rsid w:val="004B24D3"/>
    <w:rsid w:val="004B3B32"/>
    <w:rsid w:val="004B3C90"/>
    <w:rsid w:val="004B7421"/>
    <w:rsid w:val="004C0A55"/>
    <w:rsid w:val="004C1033"/>
    <w:rsid w:val="004C150F"/>
    <w:rsid w:val="004C3DB7"/>
    <w:rsid w:val="004C4340"/>
    <w:rsid w:val="004C64D6"/>
    <w:rsid w:val="004D0A61"/>
    <w:rsid w:val="004D0F71"/>
    <w:rsid w:val="004D1A99"/>
    <w:rsid w:val="004D41A6"/>
    <w:rsid w:val="004D46F9"/>
    <w:rsid w:val="004D4B05"/>
    <w:rsid w:val="004D5BF0"/>
    <w:rsid w:val="004E0381"/>
    <w:rsid w:val="004E127D"/>
    <w:rsid w:val="004E3EBD"/>
    <w:rsid w:val="004E40DA"/>
    <w:rsid w:val="004E63FE"/>
    <w:rsid w:val="004E7764"/>
    <w:rsid w:val="004E783E"/>
    <w:rsid w:val="004F3D3C"/>
    <w:rsid w:val="004F49B6"/>
    <w:rsid w:val="004F5779"/>
    <w:rsid w:val="00505ACF"/>
    <w:rsid w:val="00510053"/>
    <w:rsid w:val="0051018C"/>
    <w:rsid w:val="00513DD4"/>
    <w:rsid w:val="0051400C"/>
    <w:rsid w:val="0051423A"/>
    <w:rsid w:val="0051469F"/>
    <w:rsid w:val="0051704C"/>
    <w:rsid w:val="00520463"/>
    <w:rsid w:val="00520809"/>
    <w:rsid w:val="005251AB"/>
    <w:rsid w:val="0052706A"/>
    <w:rsid w:val="00527250"/>
    <w:rsid w:val="00530E7A"/>
    <w:rsid w:val="00531415"/>
    <w:rsid w:val="00531B15"/>
    <w:rsid w:val="0053242B"/>
    <w:rsid w:val="005326E2"/>
    <w:rsid w:val="005340DE"/>
    <w:rsid w:val="005352E0"/>
    <w:rsid w:val="00537563"/>
    <w:rsid w:val="00541BBB"/>
    <w:rsid w:val="00542C09"/>
    <w:rsid w:val="0054533F"/>
    <w:rsid w:val="0054664E"/>
    <w:rsid w:val="005475C6"/>
    <w:rsid w:val="0055090A"/>
    <w:rsid w:val="00553C69"/>
    <w:rsid w:val="00553CDA"/>
    <w:rsid w:val="0055426D"/>
    <w:rsid w:val="005558AD"/>
    <w:rsid w:val="00555AF0"/>
    <w:rsid w:val="005575AF"/>
    <w:rsid w:val="00557A68"/>
    <w:rsid w:val="00561C68"/>
    <w:rsid w:val="00563996"/>
    <w:rsid w:val="00563DE3"/>
    <w:rsid w:val="0056430D"/>
    <w:rsid w:val="00565227"/>
    <w:rsid w:val="00566D3B"/>
    <w:rsid w:val="005703D9"/>
    <w:rsid w:val="005711A6"/>
    <w:rsid w:val="005718E0"/>
    <w:rsid w:val="00571E08"/>
    <w:rsid w:val="00571EA8"/>
    <w:rsid w:val="00571F7B"/>
    <w:rsid w:val="005726F6"/>
    <w:rsid w:val="005729C6"/>
    <w:rsid w:val="00572B43"/>
    <w:rsid w:val="005733E7"/>
    <w:rsid w:val="0057462A"/>
    <w:rsid w:val="00574EE3"/>
    <w:rsid w:val="00577DD8"/>
    <w:rsid w:val="00577F50"/>
    <w:rsid w:val="00581AF9"/>
    <w:rsid w:val="0058724F"/>
    <w:rsid w:val="00592BDB"/>
    <w:rsid w:val="00593509"/>
    <w:rsid w:val="00593564"/>
    <w:rsid w:val="005A224F"/>
    <w:rsid w:val="005A2645"/>
    <w:rsid w:val="005A2973"/>
    <w:rsid w:val="005A323A"/>
    <w:rsid w:val="005A5AF2"/>
    <w:rsid w:val="005A7381"/>
    <w:rsid w:val="005A73A2"/>
    <w:rsid w:val="005B0344"/>
    <w:rsid w:val="005B06FC"/>
    <w:rsid w:val="005B2AB4"/>
    <w:rsid w:val="005B2D0D"/>
    <w:rsid w:val="005B2D89"/>
    <w:rsid w:val="005B4606"/>
    <w:rsid w:val="005B5042"/>
    <w:rsid w:val="005B50AB"/>
    <w:rsid w:val="005B605F"/>
    <w:rsid w:val="005C0EF6"/>
    <w:rsid w:val="005C137F"/>
    <w:rsid w:val="005C3388"/>
    <w:rsid w:val="005C3419"/>
    <w:rsid w:val="005C44A2"/>
    <w:rsid w:val="005C54BD"/>
    <w:rsid w:val="005D0FFC"/>
    <w:rsid w:val="005D3605"/>
    <w:rsid w:val="005D3BA0"/>
    <w:rsid w:val="005D5768"/>
    <w:rsid w:val="005D63DD"/>
    <w:rsid w:val="005D7E68"/>
    <w:rsid w:val="005E3C33"/>
    <w:rsid w:val="005E5A00"/>
    <w:rsid w:val="005E76D6"/>
    <w:rsid w:val="005E7705"/>
    <w:rsid w:val="005F3D46"/>
    <w:rsid w:val="005F3E28"/>
    <w:rsid w:val="005F5FC1"/>
    <w:rsid w:val="005F6273"/>
    <w:rsid w:val="0060068D"/>
    <w:rsid w:val="00602762"/>
    <w:rsid w:val="0061205E"/>
    <w:rsid w:val="0061270F"/>
    <w:rsid w:val="006139B3"/>
    <w:rsid w:val="00615844"/>
    <w:rsid w:val="006168B1"/>
    <w:rsid w:val="006203EF"/>
    <w:rsid w:val="00623BEB"/>
    <w:rsid w:val="006264E2"/>
    <w:rsid w:val="00627625"/>
    <w:rsid w:val="00627CA2"/>
    <w:rsid w:val="0063073D"/>
    <w:rsid w:val="00630C69"/>
    <w:rsid w:val="006312CA"/>
    <w:rsid w:val="0063283E"/>
    <w:rsid w:val="0063439F"/>
    <w:rsid w:val="006350C5"/>
    <w:rsid w:val="0063561B"/>
    <w:rsid w:val="00635E1C"/>
    <w:rsid w:val="00636E28"/>
    <w:rsid w:val="0063797C"/>
    <w:rsid w:val="0063EBA1"/>
    <w:rsid w:val="00640B6E"/>
    <w:rsid w:val="00640BC9"/>
    <w:rsid w:val="00643F90"/>
    <w:rsid w:val="006443E0"/>
    <w:rsid w:val="006446D5"/>
    <w:rsid w:val="006448EB"/>
    <w:rsid w:val="00644E43"/>
    <w:rsid w:val="00651648"/>
    <w:rsid w:val="00651E24"/>
    <w:rsid w:val="0065253F"/>
    <w:rsid w:val="00652D82"/>
    <w:rsid w:val="006547D1"/>
    <w:rsid w:val="00655B10"/>
    <w:rsid w:val="00657902"/>
    <w:rsid w:val="00657A78"/>
    <w:rsid w:val="00657D53"/>
    <w:rsid w:val="00660902"/>
    <w:rsid w:val="00660ADA"/>
    <w:rsid w:val="006618F2"/>
    <w:rsid w:val="0066275A"/>
    <w:rsid w:val="00665A6B"/>
    <w:rsid w:val="00665DBF"/>
    <w:rsid w:val="006705E6"/>
    <w:rsid w:val="00674DDF"/>
    <w:rsid w:val="00675836"/>
    <w:rsid w:val="006771BB"/>
    <w:rsid w:val="00677BF5"/>
    <w:rsid w:val="00677E0B"/>
    <w:rsid w:val="00681E12"/>
    <w:rsid w:val="00682E57"/>
    <w:rsid w:val="0068323F"/>
    <w:rsid w:val="00683862"/>
    <w:rsid w:val="00685DE1"/>
    <w:rsid w:val="00693737"/>
    <w:rsid w:val="0069391C"/>
    <w:rsid w:val="006970B7"/>
    <w:rsid w:val="006A0203"/>
    <w:rsid w:val="006A559F"/>
    <w:rsid w:val="006A55C0"/>
    <w:rsid w:val="006A56A1"/>
    <w:rsid w:val="006A658F"/>
    <w:rsid w:val="006A695E"/>
    <w:rsid w:val="006A782D"/>
    <w:rsid w:val="006B0FDC"/>
    <w:rsid w:val="006B2D84"/>
    <w:rsid w:val="006B2DE7"/>
    <w:rsid w:val="006B3B4B"/>
    <w:rsid w:val="006B4089"/>
    <w:rsid w:val="006B546D"/>
    <w:rsid w:val="006B68D8"/>
    <w:rsid w:val="006C27B5"/>
    <w:rsid w:val="006C2F7F"/>
    <w:rsid w:val="006C34AB"/>
    <w:rsid w:val="006C5072"/>
    <w:rsid w:val="006C5C86"/>
    <w:rsid w:val="006C65F9"/>
    <w:rsid w:val="006C6B42"/>
    <w:rsid w:val="006D7040"/>
    <w:rsid w:val="006D7091"/>
    <w:rsid w:val="006E021E"/>
    <w:rsid w:val="006E3766"/>
    <w:rsid w:val="006E657D"/>
    <w:rsid w:val="006E68CD"/>
    <w:rsid w:val="006F0533"/>
    <w:rsid w:val="006F5087"/>
    <w:rsid w:val="006F7AAD"/>
    <w:rsid w:val="00702585"/>
    <w:rsid w:val="00702642"/>
    <w:rsid w:val="00702CA1"/>
    <w:rsid w:val="007044F4"/>
    <w:rsid w:val="007051AB"/>
    <w:rsid w:val="00705B7B"/>
    <w:rsid w:val="00707333"/>
    <w:rsid w:val="00712516"/>
    <w:rsid w:val="00712733"/>
    <w:rsid w:val="00713DFF"/>
    <w:rsid w:val="00713F4D"/>
    <w:rsid w:val="00717B0D"/>
    <w:rsid w:val="007207F4"/>
    <w:rsid w:val="007213A5"/>
    <w:rsid w:val="00722FDE"/>
    <w:rsid w:val="007233D7"/>
    <w:rsid w:val="00723B62"/>
    <w:rsid w:val="007303CF"/>
    <w:rsid w:val="00730428"/>
    <w:rsid w:val="00730B6A"/>
    <w:rsid w:val="00730B96"/>
    <w:rsid w:val="007317FE"/>
    <w:rsid w:val="00733DDC"/>
    <w:rsid w:val="00734669"/>
    <w:rsid w:val="00737817"/>
    <w:rsid w:val="00741352"/>
    <w:rsid w:val="00742D1D"/>
    <w:rsid w:val="00742DFE"/>
    <w:rsid w:val="00745129"/>
    <w:rsid w:val="00745AA9"/>
    <w:rsid w:val="0074664B"/>
    <w:rsid w:val="0074776D"/>
    <w:rsid w:val="007516A6"/>
    <w:rsid w:val="00751EAB"/>
    <w:rsid w:val="00754CA1"/>
    <w:rsid w:val="00756338"/>
    <w:rsid w:val="007579A4"/>
    <w:rsid w:val="00757DD6"/>
    <w:rsid w:val="00757DD8"/>
    <w:rsid w:val="0075BDF0"/>
    <w:rsid w:val="00760E7D"/>
    <w:rsid w:val="0076260E"/>
    <w:rsid w:val="007626D4"/>
    <w:rsid w:val="007631DA"/>
    <w:rsid w:val="00764325"/>
    <w:rsid w:val="00764A2D"/>
    <w:rsid w:val="00764CDF"/>
    <w:rsid w:val="007655D1"/>
    <w:rsid w:val="00770987"/>
    <w:rsid w:val="007724D6"/>
    <w:rsid w:val="00772C53"/>
    <w:rsid w:val="007748C3"/>
    <w:rsid w:val="00775AE4"/>
    <w:rsid w:val="0077656B"/>
    <w:rsid w:val="00780105"/>
    <w:rsid w:val="00780718"/>
    <w:rsid w:val="00780C61"/>
    <w:rsid w:val="00781533"/>
    <w:rsid w:val="007859CB"/>
    <w:rsid w:val="00787EB5"/>
    <w:rsid w:val="00791CE3"/>
    <w:rsid w:val="007978FC"/>
    <w:rsid w:val="007A2737"/>
    <w:rsid w:val="007A386A"/>
    <w:rsid w:val="007A3E75"/>
    <w:rsid w:val="007A6260"/>
    <w:rsid w:val="007B04D6"/>
    <w:rsid w:val="007B052B"/>
    <w:rsid w:val="007B0D9F"/>
    <w:rsid w:val="007B10F7"/>
    <w:rsid w:val="007B2DD7"/>
    <w:rsid w:val="007B3B9E"/>
    <w:rsid w:val="007B5ECC"/>
    <w:rsid w:val="007B5F32"/>
    <w:rsid w:val="007B6970"/>
    <w:rsid w:val="007C03CE"/>
    <w:rsid w:val="007C1527"/>
    <w:rsid w:val="007C27F1"/>
    <w:rsid w:val="007C3824"/>
    <w:rsid w:val="007C46BD"/>
    <w:rsid w:val="007C7E12"/>
    <w:rsid w:val="007D1C84"/>
    <w:rsid w:val="007D29FB"/>
    <w:rsid w:val="007D3C1D"/>
    <w:rsid w:val="007D4F61"/>
    <w:rsid w:val="007E004F"/>
    <w:rsid w:val="007E0387"/>
    <w:rsid w:val="007E4387"/>
    <w:rsid w:val="007E4EBC"/>
    <w:rsid w:val="007E5613"/>
    <w:rsid w:val="007E6F13"/>
    <w:rsid w:val="007F0DF0"/>
    <w:rsid w:val="007F2361"/>
    <w:rsid w:val="007F348B"/>
    <w:rsid w:val="007F39BD"/>
    <w:rsid w:val="007F3CB0"/>
    <w:rsid w:val="007F567D"/>
    <w:rsid w:val="007F5AAA"/>
    <w:rsid w:val="007F7BA7"/>
    <w:rsid w:val="008000A5"/>
    <w:rsid w:val="00801041"/>
    <w:rsid w:val="00801337"/>
    <w:rsid w:val="00802015"/>
    <w:rsid w:val="00803AA8"/>
    <w:rsid w:val="008054AF"/>
    <w:rsid w:val="00806568"/>
    <w:rsid w:val="008065B7"/>
    <w:rsid w:val="00810AD6"/>
    <w:rsid w:val="00810EEA"/>
    <w:rsid w:val="00813B1E"/>
    <w:rsid w:val="00813F5D"/>
    <w:rsid w:val="0081430E"/>
    <w:rsid w:val="00816211"/>
    <w:rsid w:val="008204CD"/>
    <w:rsid w:val="00822E35"/>
    <w:rsid w:val="008246C0"/>
    <w:rsid w:val="00824B9E"/>
    <w:rsid w:val="008250F7"/>
    <w:rsid w:val="00832344"/>
    <w:rsid w:val="008330BE"/>
    <w:rsid w:val="008338C4"/>
    <w:rsid w:val="00836B0E"/>
    <w:rsid w:val="008400DE"/>
    <w:rsid w:val="00841D37"/>
    <w:rsid w:val="00842583"/>
    <w:rsid w:val="00842760"/>
    <w:rsid w:val="00842B61"/>
    <w:rsid w:val="00842C26"/>
    <w:rsid w:val="00842DD3"/>
    <w:rsid w:val="00842ECD"/>
    <w:rsid w:val="00844F2B"/>
    <w:rsid w:val="00845BD4"/>
    <w:rsid w:val="00846C4B"/>
    <w:rsid w:val="00847C6E"/>
    <w:rsid w:val="0085073C"/>
    <w:rsid w:val="00851981"/>
    <w:rsid w:val="00851EE0"/>
    <w:rsid w:val="00852361"/>
    <w:rsid w:val="00852B9A"/>
    <w:rsid w:val="00852F1C"/>
    <w:rsid w:val="008606EC"/>
    <w:rsid w:val="00861572"/>
    <w:rsid w:val="008627C0"/>
    <w:rsid w:val="008631DD"/>
    <w:rsid w:val="00865130"/>
    <w:rsid w:val="00865144"/>
    <w:rsid w:val="00865AE6"/>
    <w:rsid w:val="0086668D"/>
    <w:rsid w:val="00870F74"/>
    <w:rsid w:val="008730FC"/>
    <w:rsid w:val="00873515"/>
    <w:rsid w:val="0087380B"/>
    <w:rsid w:val="00873E91"/>
    <w:rsid w:val="008741E2"/>
    <w:rsid w:val="0087442E"/>
    <w:rsid w:val="008749C0"/>
    <w:rsid w:val="00875424"/>
    <w:rsid w:val="008813AB"/>
    <w:rsid w:val="0088397B"/>
    <w:rsid w:val="008840FF"/>
    <w:rsid w:val="008853A5"/>
    <w:rsid w:val="0088622F"/>
    <w:rsid w:val="00891E17"/>
    <w:rsid w:val="0089412B"/>
    <w:rsid w:val="00894E0C"/>
    <w:rsid w:val="008956D8"/>
    <w:rsid w:val="00897D38"/>
    <w:rsid w:val="008A1339"/>
    <w:rsid w:val="008A27D8"/>
    <w:rsid w:val="008A3AF1"/>
    <w:rsid w:val="008A3B0F"/>
    <w:rsid w:val="008A66C6"/>
    <w:rsid w:val="008A6EBC"/>
    <w:rsid w:val="008B02C7"/>
    <w:rsid w:val="008B26E5"/>
    <w:rsid w:val="008B43E9"/>
    <w:rsid w:val="008B5CC0"/>
    <w:rsid w:val="008B5FD3"/>
    <w:rsid w:val="008C09A4"/>
    <w:rsid w:val="008C373E"/>
    <w:rsid w:val="008C4B85"/>
    <w:rsid w:val="008C577E"/>
    <w:rsid w:val="008C5E7D"/>
    <w:rsid w:val="008C66E4"/>
    <w:rsid w:val="008D0399"/>
    <w:rsid w:val="008D039A"/>
    <w:rsid w:val="008D2212"/>
    <w:rsid w:val="008D27D8"/>
    <w:rsid w:val="008D32A3"/>
    <w:rsid w:val="008D354E"/>
    <w:rsid w:val="008E0346"/>
    <w:rsid w:val="008E1480"/>
    <w:rsid w:val="008E1E52"/>
    <w:rsid w:val="008E1EE7"/>
    <w:rsid w:val="008E4394"/>
    <w:rsid w:val="008E4494"/>
    <w:rsid w:val="008E45D5"/>
    <w:rsid w:val="008E59BB"/>
    <w:rsid w:val="008F1995"/>
    <w:rsid w:val="008F1F24"/>
    <w:rsid w:val="008F2D91"/>
    <w:rsid w:val="008F397A"/>
    <w:rsid w:val="008F3E97"/>
    <w:rsid w:val="008F3EC9"/>
    <w:rsid w:val="0090008A"/>
    <w:rsid w:val="009123F7"/>
    <w:rsid w:val="009128E8"/>
    <w:rsid w:val="0091375D"/>
    <w:rsid w:val="00913C96"/>
    <w:rsid w:val="00914E5E"/>
    <w:rsid w:val="009163FF"/>
    <w:rsid w:val="00924BE3"/>
    <w:rsid w:val="009256B1"/>
    <w:rsid w:val="00926AB0"/>
    <w:rsid w:val="00926E2D"/>
    <w:rsid w:val="00926EF5"/>
    <w:rsid w:val="00932C89"/>
    <w:rsid w:val="009337BE"/>
    <w:rsid w:val="00933C22"/>
    <w:rsid w:val="00933F91"/>
    <w:rsid w:val="00935DAA"/>
    <w:rsid w:val="00940E92"/>
    <w:rsid w:val="00942415"/>
    <w:rsid w:val="00942419"/>
    <w:rsid w:val="009438FF"/>
    <w:rsid w:val="00943CD8"/>
    <w:rsid w:val="00944F18"/>
    <w:rsid w:val="00945010"/>
    <w:rsid w:val="00946FB6"/>
    <w:rsid w:val="00950231"/>
    <w:rsid w:val="00950E3F"/>
    <w:rsid w:val="00951E85"/>
    <w:rsid w:val="009523B9"/>
    <w:rsid w:val="00952CD8"/>
    <w:rsid w:val="00952F86"/>
    <w:rsid w:val="009535C0"/>
    <w:rsid w:val="00955E69"/>
    <w:rsid w:val="0096167B"/>
    <w:rsid w:val="009617F2"/>
    <w:rsid w:val="009622C7"/>
    <w:rsid w:val="009672DB"/>
    <w:rsid w:val="009708D8"/>
    <w:rsid w:val="0097233B"/>
    <w:rsid w:val="00972BEC"/>
    <w:rsid w:val="00972FD0"/>
    <w:rsid w:val="00975718"/>
    <w:rsid w:val="00975B41"/>
    <w:rsid w:val="00976099"/>
    <w:rsid w:val="00976ADB"/>
    <w:rsid w:val="00977393"/>
    <w:rsid w:val="0097760A"/>
    <w:rsid w:val="00980292"/>
    <w:rsid w:val="009815ED"/>
    <w:rsid w:val="00981D4F"/>
    <w:rsid w:val="0098379A"/>
    <w:rsid w:val="00983A3A"/>
    <w:rsid w:val="00983DAE"/>
    <w:rsid w:val="00983EB3"/>
    <w:rsid w:val="00984D5E"/>
    <w:rsid w:val="0098578D"/>
    <w:rsid w:val="00985ACB"/>
    <w:rsid w:val="0098700A"/>
    <w:rsid w:val="009917E5"/>
    <w:rsid w:val="00994ECF"/>
    <w:rsid w:val="009964E2"/>
    <w:rsid w:val="00996F4E"/>
    <w:rsid w:val="009A110B"/>
    <w:rsid w:val="009A1D0B"/>
    <w:rsid w:val="009A2A2B"/>
    <w:rsid w:val="009A37E3"/>
    <w:rsid w:val="009A5298"/>
    <w:rsid w:val="009A7EA6"/>
    <w:rsid w:val="009B0A10"/>
    <w:rsid w:val="009B6993"/>
    <w:rsid w:val="009B757B"/>
    <w:rsid w:val="009C2ABE"/>
    <w:rsid w:val="009C4D7C"/>
    <w:rsid w:val="009C6279"/>
    <w:rsid w:val="009C66D0"/>
    <w:rsid w:val="009C72D6"/>
    <w:rsid w:val="009D0075"/>
    <w:rsid w:val="009D0677"/>
    <w:rsid w:val="009D299D"/>
    <w:rsid w:val="009D3D16"/>
    <w:rsid w:val="009D7AE7"/>
    <w:rsid w:val="009E264F"/>
    <w:rsid w:val="009E3CF5"/>
    <w:rsid w:val="009E43C6"/>
    <w:rsid w:val="009E541D"/>
    <w:rsid w:val="009E6EF1"/>
    <w:rsid w:val="009E7954"/>
    <w:rsid w:val="009F07ED"/>
    <w:rsid w:val="009F2678"/>
    <w:rsid w:val="009F3C20"/>
    <w:rsid w:val="009F4105"/>
    <w:rsid w:val="00A00574"/>
    <w:rsid w:val="00A00917"/>
    <w:rsid w:val="00A01119"/>
    <w:rsid w:val="00A0184B"/>
    <w:rsid w:val="00A02282"/>
    <w:rsid w:val="00A02597"/>
    <w:rsid w:val="00A03301"/>
    <w:rsid w:val="00A03475"/>
    <w:rsid w:val="00A05732"/>
    <w:rsid w:val="00A07915"/>
    <w:rsid w:val="00A07D4C"/>
    <w:rsid w:val="00A10860"/>
    <w:rsid w:val="00A12D19"/>
    <w:rsid w:val="00A14631"/>
    <w:rsid w:val="00A150A8"/>
    <w:rsid w:val="00A1577F"/>
    <w:rsid w:val="00A17417"/>
    <w:rsid w:val="00A21A84"/>
    <w:rsid w:val="00A22F63"/>
    <w:rsid w:val="00A25A05"/>
    <w:rsid w:val="00A26324"/>
    <w:rsid w:val="00A2716C"/>
    <w:rsid w:val="00A363F4"/>
    <w:rsid w:val="00A3647C"/>
    <w:rsid w:val="00A37D5B"/>
    <w:rsid w:val="00A40DA1"/>
    <w:rsid w:val="00A4119F"/>
    <w:rsid w:val="00A4317D"/>
    <w:rsid w:val="00A47C14"/>
    <w:rsid w:val="00A47CDD"/>
    <w:rsid w:val="00A50352"/>
    <w:rsid w:val="00A504F1"/>
    <w:rsid w:val="00A53519"/>
    <w:rsid w:val="00A553A4"/>
    <w:rsid w:val="00A55B6C"/>
    <w:rsid w:val="00A567F1"/>
    <w:rsid w:val="00A577D3"/>
    <w:rsid w:val="00A57CA0"/>
    <w:rsid w:val="00A605FA"/>
    <w:rsid w:val="00A60D45"/>
    <w:rsid w:val="00A61986"/>
    <w:rsid w:val="00A647FF"/>
    <w:rsid w:val="00A65460"/>
    <w:rsid w:val="00A65F38"/>
    <w:rsid w:val="00A660E4"/>
    <w:rsid w:val="00A661BE"/>
    <w:rsid w:val="00A67C0C"/>
    <w:rsid w:val="00A67FAA"/>
    <w:rsid w:val="00A70448"/>
    <w:rsid w:val="00A72A57"/>
    <w:rsid w:val="00A732EC"/>
    <w:rsid w:val="00A73A86"/>
    <w:rsid w:val="00A7457C"/>
    <w:rsid w:val="00A755C0"/>
    <w:rsid w:val="00A76631"/>
    <w:rsid w:val="00A76F22"/>
    <w:rsid w:val="00A7778E"/>
    <w:rsid w:val="00A80CA3"/>
    <w:rsid w:val="00A81EF1"/>
    <w:rsid w:val="00A8534C"/>
    <w:rsid w:val="00A861A0"/>
    <w:rsid w:val="00A86AB2"/>
    <w:rsid w:val="00A87000"/>
    <w:rsid w:val="00A93919"/>
    <w:rsid w:val="00A93935"/>
    <w:rsid w:val="00A93B9E"/>
    <w:rsid w:val="00A9517D"/>
    <w:rsid w:val="00A97537"/>
    <w:rsid w:val="00A97670"/>
    <w:rsid w:val="00AA0929"/>
    <w:rsid w:val="00AA1F71"/>
    <w:rsid w:val="00AA3911"/>
    <w:rsid w:val="00AA4E86"/>
    <w:rsid w:val="00AA79ED"/>
    <w:rsid w:val="00AB48C4"/>
    <w:rsid w:val="00AB64F8"/>
    <w:rsid w:val="00AB6F95"/>
    <w:rsid w:val="00AC12EF"/>
    <w:rsid w:val="00AC4292"/>
    <w:rsid w:val="00AC5192"/>
    <w:rsid w:val="00AC59C9"/>
    <w:rsid w:val="00AC5FB2"/>
    <w:rsid w:val="00AC75A6"/>
    <w:rsid w:val="00AD105F"/>
    <w:rsid w:val="00AD243F"/>
    <w:rsid w:val="00AD3690"/>
    <w:rsid w:val="00AD4410"/>
    <w:rsid w:val="00AD64CC"/>
    <w:rsid w:val="00AD6D2D"/>
    <w:rsid w:val="00AD78A0"/>
    <w:rsid w:val="00AE3307"/>
    <w:rsid w:val="00AE61D3"/>
    <w:rsid w:val="00AF1B33"/>
    <w:rsid w:val="00AF3D79"/>
    <w:rsid w:val="00AF46FD"/>
    <w:rsid w:val="00AF7E04"/>
    <w:rsid w:val="00B00AB5"/>
    <w:rsid w:val="00B014EE"/>
    <w:rsid w:val="00B06852"/>
    <w:rsid w:val="00B06A74"/>
    <w:rsid w:val="00B072D9"/>
    <w:rsid w:val="00B0788E"/>
    <w:rsid w:val="00B11656"/>
    <w:rsid w:val="00B12337"/>
    <w:rsid w:val="00B14382"/>
    <w:rsid w:val="00B16C7A"/>
    <w:rsid w:val="00B17277"/>
    <w:rsid w:val="00B202A2"/>
    <w:rsid w:val="00B26286"/>
    <w:rsid w:val="00B276FF"/>
    <w:rsid w:val="00B30952"/>
    <w:rsid w:val="00B328DE"/>
    <w:rsid w:val="00B338D6"/>
    <w:rsid w:val="00B348F6"/>
    <w:rsid w:val="00B3568B"/>
    <w:rsid w:val="00B35A70"/>
    <w:rsid w:val="00B3673E"/>
    <w:rsid w:val="00B40E44"/>
    <w:rsid w:val="00B40E4B"/>
    <w:rsid w:val="00B40EF8"/>
    <w:rsid w:val="00B412E5"/>
    <w:rsid w:val="00B41949"/>
    <w:rsid w:val="00B425D4"/>
    <w:rsid w:val="00B45989"/>
    <w:rsid w:val="00B460F9"/>
    <w:rsid w:val="00B46ACD"/>
    <w:rsid w:val="00B52016"/>
    <w:rsid w:val="00B52E1C"/>
    <w:rsid w:val="00B533E9"/>
    <w:rsid w:val="00B53DA9"/>
    <w:rsid w:val="00B54556"/>
    <w:rsid w:val="00B56054"/>
    <w:rsid w:val="00B56437"/>
    <w:rsid w:val="00B57E4A"/>
    <w:rsid w:val="00B631B0"/>
    <w:rsid w:val="00B64521"/>
    <w:rsid w:val="00B6645E"/>
    <w:rsid w:val="00B66DB3"/>
    <w:rsid w:val="00B67461"/>
    <w:rsid w:val="00B70BD5"/>
    <w:rsid w:val="00B73E8E"/>
    <w:rsid w:val="00B751AE"/>
    <w:rsid w:val="00B75A4B"/>
    <w:rsid w:val="00B75BF2"/>
    <w:rsid w:val="00B75E06"/>
    <w:rsid w:val="00B82F47"/>
    <w:rsid w:val="00B85EA9"/>
    <w:rsid w:val="00B86049"/>
    <w:rsid w:val="00B87EE6"/>
    <w:rsid w:val="00B907B7"/>
    <w:rsid w:val="00B93C6E"/>
    <w:rsid w:val="00BA032D"/>
    <w:rsid w:val="00BA4BFD"/>
    <w:rsid w:val="00BA7CE7"/>
    <w:rsid w:val="00BB2F49"/>
    <w:rsid w:val="00BB6F24"/>
    <w:rsid w:val="00BC0BB8"/>
    <w:rsid w:val="00BC2C2E"/>
    <w:rsid w:val="00BC431E"/>
    <w:rsid w:val="00BC4939"/>
    <w:rsid w:val="00BD1394"/>
    <w:rsid w:val="00BD24E1"/>
    <w:rsid w:val="00BD2A20"/>
    <w:rsid w:val="00BD3F02"/>
    <w:rsid w:val="00BD3FA9"/>
    <w:rsid w:val="00BD4DE1"/>
    <w:rsid w:val="00BE248D"/>
    <w:rsid w:val="00BF2405"/>
    <w:rsid w:val="00BF3227"/>
    <w:rsid w:val="00BF40DA"/>
    <w:rsid w:val="00BF5B5A"/>
    <w:rsid w:val="00BF6EB1"/>
    <w:rsid w:val="00C01B7A"/>
    <w:rsid w:val="00C0446B"/>
    <w:rsid w:val="00C044F5"/>
    <w:rsid w:val="00C0569E"/>
    <w:rsid w:val="00C0710D"/>
    <w:rsid w:val="00C10847"/>
    <w:rsid w:val="00C10A1D"/>
    <w:rsid w:val="00C115A0"/>
    <w:rsid w:val="00C12F2B"/>
    <w:rsid w:val="00C13D8B"/>
    <w:rsid w:val="00C140BC"/>
    <w:rsid w:val="00C14247"/>
    <w:rsid w:val="00C15073"/>
    <w:rsid w:val="00C15A19"/>
    <w:rsid w:val="00C20242"/>
    <w:rsid w:val="00C21895"/>
    <w:rsid w:val="00C254DE"/>
    <w:rsid w:val="00C25F39"/>
    <w:rsid w:val="00C26045"/>
    <w:rsid w:val="00C2623A"/>
    <w:rsid w:val="00C26B99"/>
    <w:rsid w:val="00C30133"/>
    <w:rsid w:val="00C310B2"/>
    <w:rsid w:val="00C31BB4"/>
    <w:rsid w:val="00C333AE"/>
    <w:rsid w:val="00C3434D"/>
    <w:rsid w:val="00C34BF6"/>
    <w:rsid w:val="00C35C63"/>
    <w:rsid w:val="00C370AF"/>
    <w:rsid w:val="00C37E95"/>
    <w:rsid w:val="00C40668"/>
    <w:rsid w:val="00C41BF8"/>
    <w:rsid w:val="00C41E5F"/>
    <w:rsid w:val="00C422E8"/>
    <w:rsid w:val="00C43917"/>
    <w:rsid w:val="00C439C6"/>
    <w:rsid w:val="00C45BEC"/>
    <w:rsid w:val="00C4723F"/>
    <w:rsid w:val="00C47FE7"/>
    <w:rsid w:val="00C52830"/>
    <w:rsid w:val="00C53636"/>
    <w:rsid w:val="00C53C03"/>
    <w:rsid w:val="00C5465A"/>
    <w:rsid w:val="00C54C74"/>
    <w:rsid w:val="00C574CE"/>
    <w:rsid w:val="00C62038"/>
    <w:rsid w:val="00C65C02"/>
    <w:rsid w:val="00C66D72"/>
    <w:rsid w:val="00C7132F"/>
    <w:rsid w:val="00C746E3"/>
    <w:rsid w:val="00C77569"/>
    <w:rsid w:val="00C77AE6"/>
    <w:rsid w:val="00C8060E"/>
    <w:rsid w:val="00C82A20"/>
    <w:rsid w:val="00C851B5"/>
    <w:rsid w:val="00C854E4"/>
    <w:rsid w:val="00C85E99"/>
    <w:rsid w:val="00C87B23"/>
    <w:rsid w:val="00C90034"/>
    <w:rsid w:val="00C90398"/>
    <w:rsid w:val="00C90B35"/>
    <w:rsid w:val="00C91283"/>
    <w:rsid w:val="00C93C74"/>
    <w:rsid w:val="00C94F34"/>
    <w:rsid w:val="00C95374"/>
    <w:rsid w:val="00C95B50"/>
    <w:rsid w:val="00C968D3"/>
    <w:rsid w:val="00CA1D16"/>
    <w:rsid w:val="00CA1EE5"/>
    <w:rsid w:val="00CA3C4E"/>
    <w:rsid w:val="00CA67F2"/>
    <w:rsid w:val="00CA7F09"/>
    <w:rsid w:val="00CB41CF"/>
    <w:rsid w:val="00CB6A59"/>
    <w:rsid w:val="00CC073E"/>
    <w:rsid w:val="00CC17D6"/>
    <w:rsid w:val="00CC1D07"/>
    <w:rsid w:val="00CC48F7"/>
    <w:rsid w:val="00CC65DB"/>
    <w:rsid w:val="00CC6B8C"/>
    <w:rsid w:val="00CC6CFC"/>
    <w:rsid w:val="00CD21F4"/>
    <w:rsid w:val="00CD2374"/>
    <w:rsid w:val="00CD3322"/>
    <w:rsid w:val="00CD3495"/>
    <w:rsid w:val="00CD39D6"/>
    <w:rsid w:val="00CD5E27"/>
    <w:rsid w:val="00CD768F"/>
    <w:rsid w:val="00CD7DF0"/>
    <w:rsid w:val="00CE0E03"/>
    <w:rsid w:val="00CE133A"/>
    <w:rsid w:val="00CE162A"/>
    <w:rsid w:val="00CE27ED"/>
    <w:rsid w:val="00CE310D"/>
    <w:rsid w:val="00CE40C7"/>
    <w:rsid w:val="00CE57CA"/>
    <w:rsid w:val="00CE5A67"/>
    <w:rsid w:val="00CE71E3"/>
    <w:rsid w:val="00CF01BC"/>
    <w:rsid w:val="00CF33FD"/>
    <w:rsid w:val="00CF3897"/>
    <w:rsid w:val="00CF5B83"/>
    <w:rsid w:val="00CF5FA6"/>
    <w:rsid w:val="00CF78AA"/>
    <w:rsid w:val="00D02275"/>
    <w:rsid w:val="00D02C36"/>
    <w:rsid w:val="00D04AE9"/>
    <w:rsid w:val="00D04E9E"/>
    <w:rsid w:val="00D06A15"/>
    <w:rsid w:val="00D06F77"/>
    <w:rsid w:val="00D07F88"/>
    <w:rsid w:val="00D1560A"/>
    <w:rsid w:val="00D15B7E"/>
    <w:rsid w:val="00D15DFF"/>
    <w:rsid w:val="00D16EB3"/>
    <w:rsid w:val="00D21786"/>
    <w:rsid w:val="00D24293"/>
    <w:rsid w:val="00D248EB"/>
    <w:rsid w:val="00D268FF"/>
    <w:rsid w:val="00D26DCF"/>
    <w:rsid w:val="00D33B10"/>
    <w:rsid w:val="00D378AC"/>
    <w:rsid w:val="00D37DDA"/>
    <w:rsid w:val="00D40C73"/>
    <w:rsid w:val="00D41341"/>
    <w:rsid w:val="00D42741"/>
    <w:rsid w:val="00D4288A"/>
    <w:rsid w:val="00D43617"/>
    <w:rsid w:val="00D5082D"/>
    <w:rsid w:val="00D52B96"/>
    <w:rsid w:val="00D52ED9"/>
    <w:rsid w:val="00D54D01"/>
    <w:rsid w:val="00D555CC"/>
    <w:rsid w:val="00D567C1"/>
    <w:rsid w:val="00D57D56"/>
    <w:rsid w:val="00D603F0"/>
    <w:rsid w:val="00D6079B"/>
    <w:rsid w:val="00D62705"/>
    <w:rsid w:val="00D628A9"/>
    <w:rsid w:val="00D62F56"/>
    <w:rsid w:val="00D64FD7"/>
    <w:rsid w:val="00D6520F"/>
    <w:rsid w:val="00D655C4"/>
    <w:rsid w:val="00D6C5EE"/>
    <w:rsid w:val="00D70509"/>
    <w:rsid w:val="00D71078"/>
    <w:rsid w:val="00D74E3B"/>
    <w:rsid w:val="00D770BF"/>
    <w:rsid w:val="00D77291"/>
    <w:rsid w:val="00D77701"/>
    <w:rsid w:val="00D80EDB"/>
    <w:rsid w:val="00D8124D"/>
    <w:rsid w:val="00D81B84"/>
    <w:rsid w:val="00D8382E"/>
    <w:rsid w:val="00D8492A"/>
    <w:rsid w:val="00D865F7"/>
    <w:rsid w:val="00D86A24"/>
    <w:rsid w:val="00D87760"/>
    <w:rsid w:val="00D9185E"/>
    <w:rsid w:val="00D91C51"/>
    <w:rsid w:val="00D92704"/>
    <w:rsid w:val="00D93173"/>
    <w:rsid w:val="00D935D6"/>
    <w:rsid w:val="00D93B34"/>
    <w:rsid w:val="00D963F6"/>
    <w:rsid w:val="00D97441"/>
    <w:rsid w:val="00D97945"/>
    <w:rsid w:val="00DA23D6"/>
    <w:rsid w:val="00DA341E"/>
    <w:rsid w:val="00DA46F6"/>
    <w:rsid w:val="00DA4AEA"/>
    <w:rsid w:val="00DA5B05"/>
    <w:rsid w:val="00DB22D9"/>
    <w:rsid w:val="00DB273B"/>
    <w:rsid w:val="00DB2C9E"/>
    <w:rsid w:val="00DB52FA"/>
    <w:rsid w:val="00DB6B28"/>
    <w:rsid w:val="00DB6B55"/>
    <w:rsid w:val="00DB7AFF"/>
    <w:rsid w:val="00DC04C3"/>
    <w:rsid w:val="00DC08AA"/>
    <w:rsid w:val="00DC1705"/>
    <w:rsid w:val="00DC2EB9"/>
    <w:rsid w:val="00DC5ED9"/>
    <w:rsid w:val="00DC6200"/>
    <w:rsid w:val="00DD3307"/>
    <w:rsid w:val="00DD403F"/>
    <w:rsid w:val="00DD5CD2"/>
    <w:rsid w:val="00DE0392"/>
    <w:rsid w:val="00DE39F5"/>
    <w:rsid w:val="00DE64E6"/>
    <w:rsid w:val="00DE71C3"/>
    <w:rsid w:val="00DE73C4"/>
    <w:rsid w:val="00DF1B1C"/>
    <w:rsid w:val="00DF3F1E"/>
    <w:rsid w:val="00DF4AD0"/>
    <w:rsid w:val="00DF5124"/>
    <w:rsid w:val="00DF6EE1"/>
    <w:rsid w:val="00DF7F45"/>
    <w:rsid w:val="00E01373"/>
    <w:rsid w:val="00E01820"/>
    <w:rsid w:val="00E022A1"/>
    <w:rsid w:val="00E04E0D"/>
    <w:rsid w:val="00E06CD0"/>
    <w:rsid w:val="00E07762"/>
    <w:rsid w:val="00E12154"/>
    <w:rsid w:val="00E139C7"/>
    <w:rsid w:val="00E14347"/>
    <w:rsid w:val="00E21D22"/>
    <w:rsid w:val="00E22AFE"/>
    <w:rsid w:val="00E24BC4"/>
    <w:rsid w:val="00E24FEF"/>
    <w:rsid w:val="00E25967"/>
    <w:rsid w:val="00E30587"/>
    <w:rsid w:val="00E317B0"/>
    <w:rsid w:val="00E33445"/>
    <w:rsid w:val="00E345BB"/>
    <w:rsid w:val="00E35050"/>
    <w:rsid w:val="00E36715"/>
    <w:rsid w:val="00E378F9"/>
    <w:rsid w:val="00E40400"/>
    <w:rsid w:val="00E4355E"/>
    <w:rsid w:val="00E43EE5"/>
    <w:rsid w:val="00E463DD"/>
    <w:rsid w:val="00E47ED8"/>
    <w:rsid w:val="00E50785"/>
    <w:rsid w:val="00E508E8"/>
    <w:rsid w:val="00E51FC4"/>
    <w:rsid w:val="00E53009"/>
    <w:rsid w:val="00E53931"/>
    <w:rsid w:val="00E566B8"/>
    <w:rsid w:val="00E571CB"/>
    <w:rsid w:val="00E5732B"/>
    <w:rsid w:val="00E574F4"/>
    <w:rsid w:val="00E57720"/>
    <w:rsid w:val="00E610D0"/>
    <w:rsid w:val="00E628A8"/>
    <w:rsid w:val="00E63A55"/>
    <w:rsid w:val="00E649A2"/>
    <w:rsid w:val="00E65B82"/>
    <w:rsid w:val="00E71466"/>
    <w:rsid w:val="00E73247"/>
    <w:rsid w:val="00E7395F"/>
    <w:rsid w:val="00E74468"/>
    <w:rsid w:val="00E749A7"/>
    <w:rsid w:val="00E74A11"/>
    <w:rsid w:val="00E74C95"/>
    <w:rsid w:val="00E76BCF"/>
    <w:rsid w:val="00E841A6"/>
    <w:rsid w:val="00E863AA"/>
    <w:rsid w:val="00E874CE"/>
    <w:rsid w:val="00E91F9B"/>
    <w:rsid w:val="00E92C80"/>
    <w:rsid w:val="00E92CCD"/>
    <w:rsid w:val="00E94304"/>
    <w:rsid w:val="00E96596"/>
    <w:rsid w:val="00E97C51"/>
    <w:rsid w:val="00EA006F"/>
    <w:rsid w:val="00EA0EE4"/>
    <w:rsid w:val="00EA37BC"/>
    <w:rsid w:val="00EA51AA"/>
    <w:rsid w:val="00EAE427"/>
    <w:rsid w:val="00EB04AC"/>
    <w:rsid w:val="00EB0A99"/>
    <w:rsid w:val="00EB1124"/>
    <w:rsid w:val="00EB27C5"/>
    <w:rsid w:val="00EB3BA9"/>
    <w:rsid w:val="00EB6E8D"/>
    <w:rsid w:val="00EC0548"/>
    <w:rsid w:val="00EC0F8B"/>
    <w:rsid w:val="00EC1706"/>
    <w:rsid w:val="00EC1AD6"/>
    <w:rsid w:val="00EC2797"/>
    <w:rsid w:val="00EC2DCD"/>
    <w:rsid w:val="00EC46B1"/>
    <w:rsid w:val="00ED03E9"/>
    <w:rsid w:val="00ED0887"/>
    <w:rsid w:val="00ED0C4F"/>
    <w:rsid w:val="00ED10C6"/>
    <w:rsid w:val="00ED2303"/>
    <w:rsid w:val="00ED3449"/>
    <w:rsid w:val="00ED5E0C"/>
    <w:rsid w:val="00ED655E"/>
    <w:rsid w:val="00EE13EC"/>
    <w:rsid w:val="00EE3643"/>
    <w:rsid w:val="00EE4EEC"/>
    <w:rsid w:val="00EE5EF5"/>
    <w:rsid w:val="00EE660D"/>
    <w:rsid w:val="00EF0D83"/>
    <w:rsid w:val="00EF112F"/>
    <w:rsid w:val="00EF7060"/>
    <w:rsid w:val="00F0085E"/>
    <w:rsid w:val="00F044B7"/>
    <w:rsid w:val="00F068D4"/>
    <w:rsid w:val="00F06A94"/>
    <w:rsid w:val="00F06F93"/>
    <w:rsid w:val="00F10961"/>
    <w:rsid w:val="00F12DA1"/>
    <w:rsid w:val="00F145A5"/>
    <w:rsid w:val="00F14ECA"/>
    <w:rsid w:val="00F151E5"/>
    <w:rsid w:val="00F15462"/>
    <w:rsid w:val="00F16CBD"/>
    <w:rsid w:val="00F2043B"/>
    <w:rsid w:val="00F20881"/>
    <w:rsid w:val="00F20B92"/>
    <w:rsid w:val="00F2298E"/>
    <w:rsid w:val="00F24DAA"/>
    <w:rsid w:val="00F26E82"/>
    <w:rsid w:val="00F2777C"/>
    <w:rsid w:val="00F35BB2"/>
    <w:rsid w:val="00F35CE2"/>
    <w:rsid w:val="00F35EEA"/>
    <w:rsid w:val="00F41E5E"/>
    <w:rsid w:val="00F45E50"/>
    <w:rsid w:val="00F46629"/>
    <w:rsid w:val="00F46EA3"/>
    <w:rsid w:val="00F476C0"/>
    <w:rsid w:val="00F507B0"/>
    <w:rsid w:val="00F507CC"/>
    <w:rsid w:val="00F50B21"/>
    <w:rsid w:val="00F52465"/>
    <w:rsid w:val="00F524B3"/>
    <w:rsid w:val="00F52870"/>
    <w:rsid w:val="00F5672D"/>
    <w:rsid w:val="00F57C37"/>
    <w:rsid w:val="00F60E8A"/>
    <w:rsid w:val="00F61EE2"/>
    <w:rsid w:val="00F61F27"/>
    <w:rsid w:val="00F62BC2"/>
    <w:rsid w:val="00F6304B"/>
    <w:rsid w:val="00F64A89"/>
    <w:rsid w:val="00F64BA3"/>
    <w:rsid w:val="00F66466"/>
    <w:rsid w:val="00F75756"/>
    <w:rsid w:val="00F76BD5"/>
    <w:rsid w:val="00F77B4F"/>
    <w:rsid w:val="00F8009E"/>
    <w:rsid w:val="00F80324"/>
    <w:rsid w:val="00F80C30"/>
    <w:rsid w:val="00F816BD"/>
    <w:rsid w:val="00F82916"/>
    <w:rsid w:val="00F84851"/>
    <w:rsid w:val="00F90606"/>
    <w:rsid w:val="00F90CE4"/>
    <w:rsid w:val="00F91486"/>
    <w:rsid w:val="00F917E5"/>
    <w:rsid w:val="00F91BE3"/>
    <w:rsid w:val="00F92254"/>
    <w:rsid w:val="00F932DE"/>
    <w:rsid w:val="00F96AC0"/>
    <w:rsid w:val="00F97A13"/>
    <w:rsid w:val="00FA1401"/>
    <w:rsid w:val="00FA141B"/>
    <w:rsid w:val="00FA20E3"/>
    <w:rsid w:val="00FA5C81"/>
    <w:rsid w:val="00FA719B"/>
    <w:rsid w:val="00FB03A1"/>
    <w:rsid w:val="00FB0470"/>
    <w:rsid w:val="00FB649A"/>
    <w:rsid w:val="00FB66D7"/>
    <w:rsid w:val="00FB6FEC"/>
    <w:rsid w:val="00FC0D01"/>
    <w:rsid w:val="00FC0E43"/>
    <w:rsid w:val="00FC34FE"/>
    <w:rsid w:val="00FC411F"/>
    <w:rsid w:val="00FD0894"/>
    <w:rsid w:val="00FD1538"/>
    <w:rsid w:val="00FD1893"/>
    <w:rsid w:val="00FD1B5D"/>
    <w:rsid w:val="00FD1BD3"/>
    <w:rsid w:val="00FD2777"/>
    <w:rsid w:val="00FD330A"/>
    <w:rsid w:val="00FD52F3"/>
    <w:rsid w:val="00FD6F64"/>
    <w:rsid w:val="00FE1912"/>
    <w:rsid w:val="00FE4A11"/>
    <w:rsid w:val="00FE63CF"/>
    <w:rsid w:val="00FE6619"/>
    <w:rsid w:val="00FE66C7"/>
    <w:rsid w:val="00FE679B"/>
    <w:rsid w:val="00FF08E4"/>
    <w:rsid w:val="00FF0BA0"/>
    <w:rsid w:val="00FF5BAE"/>
    <w:rsid w:val="00FF7A73"/>
    <w:rsid w:val="00FF7DB7"/>
    <w:rsid w:val="01965CC0"/>
    <w:rsid w:val="019A0132"/>
    <w:rsid w:val="01C8A5EB"/>
    <w:rsid w:val="01DDE365"/>
    <w:rsid w:val="01EC3DAE"/>
    <w:rsid w:val="020AE0E7"/>
    <w:rsid w:val="02367FBB"/>
    <w:rsid w:val="02C4BB0B"/>
    <w:rsid w:val="02DDB630"/>
    <w:rsid w:val="03607B38"/>
    <w:rsid w:val="037CD460"/>
    <w:rsid w:val="03CB29FF"/>
    <w:rsid w:val="03D5FB7E"/>
    <w:rsid w:val="03F8BB3B"/>
    <w:rsid w:val="041DAA40"/>
    <w:rsid w:val="044D5B22"/>
    <w:rsid w:val="04CEC9E3"/>
    <w:rsid w:val="04E13E02"/>
    <w:rsid w:val="04EADDF1"/>
    <w:rsid w:val="04EE36F5"/>
    <w:rsid w:val="051E5CA0"/>
    <w:rsid w:val="05A66271"/>
    <w:rsid w:val="05C51DA2"/>
    <w:rsid w:val="05DC1440"/>
    <w:rsid w:val="05DCCFE4"/>
    <w:rsid w:val="0764D4BD"/>
    <w:rsid w:val="07E8FA83"/>
    <w:rsid w:val="08B9841B"/>
    <w:rsid w:val="094D4136"/>
    <w:rsid w:val="0959A403"/>
    <w:rsid w:val="0971D041"/>
    <w:rsid w:val="09B073D5"/>
    <w:rsid w:val="09D543D4"/>
    <w:rsid w:val="0A0D851A"/>
    <w:rsid w:val="0A4B3BE7"/>
    <w:rsid w:val="0A616454"/>
    <w:rsid w:val="0AD38B96"/>
    <w:rsid w:val="0ADCB1A9"/>
    <w:rsid w:val="0B92A77E"/>
    <w:rsid w:val="0BA04A77"/>
    <w:rsid w:val="0C2512CB"/>
    <w:rsid w:val="0CB65642"/>
    <w:rsid w:val="0D38D840"/>
    <w:rsid w:val="0DDE4002"/>
    <w:rsid w:val="0DEF1679"/>
    <w:rsid w:val="0E008107"/>
    <w:rsid w:val="0E0D4665"/>
    <w:rsid w:val="0E29E360"/>
    <w:rsid w:val="0E7203C5"/>
    <w:rsid w:val="0EFBF9F3"/>
    <w:rsid w:val="0F10FE08"/>
    <w:rsid w:val="0F3B3F97"/>
    <w:rsid w:val="0FBEC355"/>
    <w:rsid w:val="0FCCE82A"/>
    <w:rsid w:val="0FD12268"/>
    <w:rsid w:val="0FE1439B"/>
    <w:rsid w:val="1007C3B6"/>
    <w:rsid w:val="100D1328"/>
    <w:rsid w:val="104513BD"/>
    <w:rsid w:val="10D6FECC"/>
    <w:rsid w:val="10DFA517"/>
    <w:rsid w:val="11072477"/>
    <w:rsid w:val="1114E3AA"/>
    <w:rsid w:val="1115167B"/>
    <w:rsid w:val="11A290C7"/>
    <w:rsid w:val="11EB505B"/>
    <w:rsid w:val="11F4663D"/>
    <w:rsid w:val="120349C8"/>
    <w:rsid w:val="12172200"/>
    <w:rsid w:val="1218A0E4"/>
    <w:rsid w:val="1271D9A2"/>
    <w:rsid w:val="1285DBFF"/>
    <w:rsid w:val="13082BB2"/>
    <w:rsid w:val="1310B407"/>
    <w:rsid w:val="13153182"/>
    <w:rsid w:val="13366D70"/>
    <w:rsid w:val="1355EEC1"/>
    <w:rsid w:val="137CC525"/>
    <w:rsid w:val="1390B27C"/>
    <w:rsid w:val="1394F163"/>
    <w:rsid w:val="13B7191F"/>
    <w:rsid w:val="13CB6F07"/>
    <w:rsid w:val="1403798B"/>
    <w:rsid w:val="1421DE36"/>
    <w:rsid w:val="14240E01"/>
    <w:rsid w:val="143DA6D2"/>
    <w:rsid w:val="147BF55D"/>
    <w:rsid w:val="148DAB89"/>
    <w:rsid w:val="14D13B4B"/>
    <w:rsid w:val="14FCA105"/>
    <w:rsid w:val="154E2B4A"/>
    <w:rsid w:val="15798723"/>
    <w:rsid w:val="15C8A5A4"/>
    <w:rsid w:val="166A63FE"/>
    <w:rsid w:val="16DA426B"/>
    <w:rsid w:val="1716DF12"/>
    <w:rsid w:val="173CC933"/>
    <w:rsid w:val="1763C07F"/>
    <w:rsid w:val="17939404"/>
    <w:rsid w:val="18142F92"/>
    <w:rsid w:val="18321DA3"/>
    <w:rsid w:val="183E6CC4"/>
    <w:rsid w:val="1886B48B"/>
    <w:rsid w:val="18894F35"/>
    <w:rsid w:val="18CE78F5"/>
    <w:rsid w:val="18D31215"/>
    <w:rsid w:val="18F0B5F6"/>
    <w:rsid w:val="191AC4F7"/>
    <w:rsid w:val="192FC7FB"/>
    <w:rsid w:val="19370C29"/>
    <w:rsid w:val="196D6AE8"/>
    <w:rsid w:val="19B6B7F5"/>
    <w:rsid w:val="19F1B3D4"/>
    <w:rsid w:val="1A3D77AA"/>
    <w:rsid w:val="1A8725A7"/>
    <w:rsid w:val="1B2D448E"/>
    <w:rsid w:val="1B7B9461"/>
    <w:rsid w:val="1BB0205B"/>
    <w:rsid w:val="1BFB5F12"/>
    <w:rsid w:val="1C56CD03"/>
    <w:rsid w:val="1C75A5B0"/>
    <w:rsid w:val="1CC81F64"/>
    <w:rsid w:val="1D197D99"/>
    <w:rsid w:val="1D47BC43"/>
    <w:rsid w:val="1D71CB01"/>
    <w:rsid w:val="1D76EF42"/>
    <w:rsid w:val="1DB22D33"/>
    <w:rsid w:val="1DBBBA1E"/>
    <w:rsid w:val="1E1801D6"/>
    <w:rsid w:val="1E24625B"/>
    <w:rsid w:val="1E395427"/>
    <w:rsid w:val="1E61DBA7"/>
    <w:rsid w:val="1E69FA4D"/>
    <w:rsid w:val="1E7823F8"/>
    <w:rsid w:val="1E8D6172"/>
    <w:rsid w:val="1ED38BA8"/>
    <w:rsid w:val="1F36646B"/>
    <w:rsid w:val="1FBA31BF"/>
    <w:rsid w:val="202993A6"/>
    <w:rsid w:val="205083CF"/>
    <w:rsid w:val="2052D80F"/>
    <w:rsid w:val="2078A503"/>
    <w:rsid w:val="209E46DE"/>
    <w:rsid w:val="20DD4980"/>
    <w:rsid w:val="20E66F93"/>
    <w:rsid w:val="210ABCD5"/>
    <w:rsid w:val="212FBCA0"/>
    <w:rsid w:val="2153EE02"/>
    <w:rsid w:val="216213EA"/>
    <w:rsid w:val="21D6C939"/>
    <w:rsid w:val="2213A582"/>
    <w:rsid w:val="226AE493"/>
    <w:rsid w:val="22781DC2"/>
    <w:rsid w:val="22B8BE93"/>
    <w:rsid w:val="22E0275F"/>
    <w:rsid w:val="22E7A15C"/>
    <w:rsid w:val="23411E73"/>
    <w:rsid w:val="239200EB"/>
    <w:rsid w:val="23BF1409"/>
    <w:rsid w:val="243CFA2E"/>
    <w:rsid w:val="2478B766"/>
    <w:rsid w:val="24941444"/>
    <w:rsid w:val="2505236A"/>
    <w:rsid w:val="251ABBF2"/>
    <w:rsid w:val="255CF6EE"/>
    <w:rsid w:val="25E9D390"/>
    <w:rsid w:val="25EB0185"/>
    <w:rsid w:val="262FCC37"/>
    <w:rsid w:val="265AF89A"/>
    <w:rsid w:val="26C16E36"/>
    <w:rsid w:val="26DF8EC1"/>
    <w:rsid w:val="26E0BCB6"/>
    <w:rsid w:val="26F4BE51"/>
    <w:rsid w:val="26F69C40"/>
    <w:rsid w:val="2704A92B"/>
    <w:rsid w:val="27080354"/>
    <w:rsid w:val="27762AC0"/>
    <w:rsid w:val="2797DAE7"/>
    <w:rsid w:val="27E2F8F4"/>
    <w:rsid w:val="27E7C774"/>
    <w:rsid w:val="287072A7"/>
    <w:rsid w:val="2951689C"/>
    <w:rsid w:val="2983DA26"/>
    <w:rsid w:val="2AA6C991"/>
    <w:rsid w:val="2B206796"/>
    <w:rsid w:val="2B56F3EF"/>
    <w:rsid w:val="2B835677"/>
    <w:rsid w:val="2BA5F986"/>
    <w:rsid w:val="2BBF0508"/>
    <w:rsid w:val="2BD5B98F"/>
    <w:rsid w:val="2BD87582"/>
    <w:rsid w:val="2BEF2AB3"/>
    <w:rsid w:val="2C822599"/>
    <w:rsid w:val="2C99437B"/>
    <w:rsid w:val="2CABBA0A"/>
    <w:rsid w:val="2D0289DC"/>
    <w:rsid w:val="2D9D4B68"/>
    <w:rsid w:val="2DB37A5B"/>
    <w:rsid w:val="2DDC5B24"/>
    <w:rsid w:val="2E2B95EA"/>
    <w:rsid w:val="2E398A06"/>
    <w:rsid w:val="2E4B173B"/>
    <w:rsid w:val="2E887F6F"/>
    <w:rsid w:val="2EAC6752"/>
    <w:rsid w:val="2EAF9FAC"/>
    <w:rsid w:val="2F10D2F9"/>
    <w:rsid w:val="2F3DDD14"/>
    <w:rsid w:val="2F64CDB8"/>
    <w:rsid w:val="2F7728D2"/>
    <w:rsid w:val="2FC8A667"/>
    <w:rsid w:val="2FD4FD32"/>
    <w:rsid w:val="30037E03"/>
    <w:rsid w:val="302C4332"/>
    <w:rsid w:val="3045F758"/>
    <w:rsid w:val="308AEE47"/>
    <w:rsid w:val="30B6A6E3"/>
    <w:rsid w:val="30C2B708"/>
    <w:rsid w:val="30F716FB"/>
    <w:rsid w:val="30FE59C5"/>
    <w:rsid w:val="312BE3CB"/>
    <w:rsid w:val="313D2996"/>
    <w:rsid w:val="3150CC89"/>
    <w:rsid w:val="3185524B"/>
    <w:rsid w:val="319F4E64"/>
    <w:rsid w:val="31C41FC2"/>
    <w:rsid w:val="31E1AAD3"/>
    <w:rsid w:val="327EB689"/>
    <w:rsid w:val="327F639A"/>
    <w:rsid w:val="328D559E"/>
    <w:rsid w:val="33065C20"/>
    <w:rsid w:val="330B097B"/>
    <w:rsid w:val="3310D95C"/>
    <w:rsid w:val="333359A2"/>
    <w:rsid w:val="335F292F"/>
    <w:rsid w:val="33B40E7E"/>
    <w:rsid w:val="33BE12F9"/>
    <w:rsid w:val="33E36C69"/>
    <w:rsid w:val="3447689D"/>
    <w:rsid w:val="34593A7E"/>
    <w:rsid w:val="34CE2DE4"/>
    <w:rsid w:val="34E03304"/>
    <w:rsid w:val="34F425AE"/>
    <w:rsid w:val="350D3086"/>
    <w:rsid w:val="352766C7"/>
    <w:rsid w:val="3583D508"/>
    <w:rsid w:val="359BB339"/>
    <w:rsid w:val="35EEA63C"/>
    <w:rsid w:val="362499F0"/>
    <w:rsid w:val="36513B8A"/>
    <w:rsid w:val="365A41B9"/>
    <w:rsid w:val="36F02D7D"/>
    <w:rsid w:val="372C742C"/>
    <w:rsid w:val="3754A5BD"/>
    <w:rsid w:val="37710579"/>
    <w:rsid w:val="3780D53D"/>
    <w:rsid w:val="3797CBAC"/>
    <w:rsid w:val="37C645CC"/>
    <w:rsid w:val="37DFC190"/>
    <w:rsid w:val="381D76AA"/>
    <w:rsid w:val="38326781"/>
    <w:rsid w:val="3847A4FB"/>
    <w:rsid w:val="38DEC531"/>
    <w:rsid w:val="38E02CCE"/>
    <w:rsid w:val="39075D25"/>
    <w:rsid w:val="390E394A"/>
    <w:rsid w:val="39394797"/>
    <w:rsid w:val="39F86845"/>
    <w:rsid w:val="3A364D23"/>
    <w:rsid w:val="3A43CA15"/>
    <w:rsid w:val="3A513554"/>
    <w:rsid w:val="3A570759"/>
    <w:rsid w:val="3A679ACE"/>
    <w:rsid w:val="3ADB488B"/>
    <w:rsid w:val="3AE5AA0B"/>
    <w:rsid w:val="3B39B756"/>
    <w:rsid w:val="3B48254E"/>
    <w:rsid w:val="3BC6D912"/>
    <w:rsid w:val="3C208EFC"/>
    <w:rsid w:val="3C6723EC"/>
    <w:rsid w:val="3CA5C88F"/>
    <w:rsid w:val="3D31CF6F"/>
    <w:rsid w:val="3D408BBC"/>
    <w:rsid w:val="3D4347AF"/>
    <w:rsid w:val="3DB484F1"/>
    <w:rsid w:val="3DEBCD93"/>
    <w:rsid w:val="3E138D42"/>
    <w:rsid w:val="3E1BBDCA"/>
    <w:rsid w:val="3E46B1E2"/>
    <w:rsid w:val="3E7F5A95"/>
    <w:rsid w:val="3E8581B3"/>
    <w:rsid w:val="3EDA310E"/>
    <w:rsid w:val="3FA8E30A"/>
    <w:rsid w:val="3FB83EED"/>
    <w:rsid w:val="405EEB71"/>
    <w:rsid w:val="40C3E108"/>
    <w:rsid w:val="41716CF0"/>
    <w:rsid w:val="418B6A2E"/>
    <w:rsid w:val="41BA5D9E"/>
    <w:rsid w:val="41BFBCC3"/>
    <w:rsid w:val="41CCBD61"/>
    <w:rsid w:val="425588A3"/>
    <w:rsid w:val="42887A72"/>
    <w:rsid w:val="428A7DDD"/>
    <w:rsid w:val="43063000"/>
    <w:rsid w:val="43A70FD8"/>
    <w:rsid w:val="43BD3845"/>
    <w:rsid w:val="43CABB0A"/>
    <w:rsid w:val="43F05CE5"/>
    <w:rsid w:val="43F69EBB"/>
    <w:rsid w:val="43F92ACC"/>
    <w:rsid w:val="44108046"/>
    <w:rsid w:val="44160BCF"/>
    <w:rsid w:val="44625156"/>
    <w:rsid w:val="44E10E1F"/>
    <w:rsid w:val="452807A7"/>
    <w:rsid w:val="45487673"/>
    <w:rsid w:val="45721355"/>
    <w:rsid w:val="45BCFA9A"/>
    <w:rsid w:val="45C13214"/>
    <w:rsid w:val="45E0D5E3"/>
    <w:rsid w:val="45FB0697"/>
    <w:rsid w:val="46536A24"/>
    <w:rsid w:val="4655826D"/>
    <w:rsid w:val="46651711"/>
    <w:rsid w:val="468FFC20"/>
    <w:rsid w:val="46A8388F"/>
    <w:rsid w:val="46C48607"/>
    <w:rsid w:val="470E62D3"/>
    <w:rsid w:val="472171E2"/>
    <w:rsid w:val="473A13F3"/>
    <w:rsid w:val="47451E7E"/>
    <w:rsid w:val="4773E502"/>
    <w:rsid w:val="478F1035"/>
    <w:rsid w:val="479FEA38"/>
    <w:rsid w:val="47E08DCA"/>
    <w:rsid w:val="480865DB"/>
    <w:rsid w:val="488FACED"/>
    <w:rsid w:val="48AA73D5"/>
    <w:rsid w:val="48BC4624"/>
    <w:rsid w:val="494A95A6"/>
    <w:rsid w:val="495B3817"/>
    <w:rsid w:val="49756DBF"/>
    <w:rsid w:val="4A091D55"/>
    <w:rsid w:val="4A0DB16B"/>
    <w:rsid w:val="4A19369C"/>
    <w:rsid w:val="4A8C21F8"/>
    <w:rsid w:val="4B7EA217"/>
    <w:rsid w:val="4B926303"/>
    <w:rsid w:val="4BC288AE"/>
    <w:rsid w:val="4BDB5601"/>
    <w:rsid w:val="4C1ACE76"/>
    <w:rsid w:val="4C36EF0A"/>
    <w:rsid w:val="4C3C7FB5"/>
    <w:rsid w:val="4C5F4F92"/>
    <w:rsid w:val="4C6D6901"/>
    <w:rsid w:val="4CD0E4F5"/>
    <w:rsid w:val="4D778B09"/>
    <w:rsid w:val="4D7E3453"/>
    <w:rsid w:val="4E34D058"/>
    <w:rsid w:val="4E513014"/>
    <w:rsid w:val="4E5CADF7"/>
    <w:rsid w:val="4E7B607D"/>
    <w:rsid w:val="4E909C3F"/>
    <w:rsid w:val="4F03C76E"/>
    <w:rsid w:val="4F68DCCF"/>
    <w:rsid w:val="4F7E3332"/>
    <w:rsid w:val="4F9DE0C0"/>
    <w:rsid w:val="4FC469E3"/>
    <w:rsid w:val="4FCBC92B"/>
    <w:rsid w:val="5015FC4F"/>
    <w:rsid w:val="501C236D"/>
    <w:rsid w:val="50A73F40"/>
    <w:rsid w:val="50CB2519"/>
    <w:rsid w:val="50F0E049"/>
    <w:rsid w:val="5116AA8F"/>
    <w:rsid w:val="51580A16"/>
    <w:rsid w:val="517072C2"/>
    <w:rsid w:val="519D2D42"/>
    <w:rsid w:val="51D6EDE6"/>
    <w:rsid w:val="528FF31B"/>
    <w:rsid w:val="5290DAE8"/>
    <w:rsid w:val="53A89AAF"/>
    <w:rsid w:val="5408BCEA"/>
    <w:rsid w:val="54140AA8"/>
    <w:rsid w:val="54208386"/>
    <w:rsid w:val="547024AE"/>
    <w:rsid w:val="54716B3A"/>
    <w:rsid w:val="547B570E"/>
    <w:rsid w:val="5489187F"/>
    <w:rsid w:val="54AB1374"/>
    <w:rsid w:val="54B2E0A9"/>
    <w:rsid w:val="559AA787"/>
    <w:rsid w:val="55D179A1"/>
    <w:rsid w:val="55DF6BA5"/>
    <w:rsid w:val="55EA53C3"/>
    <w:rsid w:val="564C9AB9"/>
    <w:rsid w:val="56587227"/>
    <w:rsid w:val="56856FA9"/>
    <w:rsid w:val="56DBD440"/>
    <w:rsid w:val="57902865"/>
    <w:rsid w:val="57AB5085"/>
    <w:rsid w:val="57D47A15"/>
    <w:rsid w:val="5819F1EC"/>
    <w:rsid w:val="5832490B"/>
    <w:rsid w:val="585F468D"/>
    <w:rsid w:val="58860E64"/>
    <w:rsid w:val="58A43D7C"/>
    <w:rsid w:val="58C38BFC"/>
    <w:rsid w:val="58D5EB0F"/>
    <w:rsid w:val="58D8C42E"/>
    <w:rsid w:val="58ECB58C"/>
    <w:rsid w:val="59C6F62F"/>
    <w:rsid w:val="5A391D71"/>
    <w:rsid w:val="5A424384"/>
    <w:rsid w:val="5ABFE326"/>
    <w:rsid w:val="5B4CAE2E"/>
    <w:rsid w:val="5B5DE888"/>
    <w:rsid w:val="5BC6B884"/>
    <w:rsid w:val="5C58709C"/>
    <w:rsid w:val="5CBB666A"/>
    <w:rsid w:val="5D57DBBF"/>
    <w:rsid w:val="5D764DD9"/>
    <w:rsid w:val="5D8F753B"/>
    <w:rsid w:val="5DC3A242"/>
    <w:rsid w:val="5DDD7439"/>
    <w:rsid w:val="5E27121B"/>
    <w:rsid w:val="5E35EF12"/>
    <w:rsid w:val="5E76C948"/>
    <w:rsid w:val="5E9DC81C"/>
    <w:rsid w:val="5F18EF19"/>
    <w:rsid w:val="5F245530"/>
    <w:rsid w:val="5F8BA028"/>
    <w:rsid w:val="5F8F04BF"/>
    <w:rsid w:val="5FF95A44"/>
    <w:rsid w:val="5FFDC0D6"/>
    <w:rsid w:val="602ABE58"/>
    <w:rsid w:val="603C1642"/>
    <w:rsid w:val="604DDBCD"/>
    <w:rsid w:val="609B4631"/>
    <w:rsid w:val="612154FE"/>
    <w:rsid w:val="6137BCEC"/>
    <w:rsid w:val="613FFADA"/>
    <w:rsid w:val="616DD3D1"/>
    <w:rsid w:val="61E513EB"/>
    <w:rsid w:val="61E89FC0"/>
    <w:rsid w:val="62248C60"/>
    <w:rsid w:val="62544C69"/>
    <w:rsid w:val="62FAF911"/>
    <w:rsid w:val="632AB91A"/>
    <w:rsid w:val="63338EAE"/>
    <w:rsid w:val="6342DD1F"/>
    <w:rsid w:val="634CF65E"/>
    <w:rsid w:val="63591D0E"/>
    <w:rsid w:val="636BA936"/>
    <w:rsid w:val="6412BEB5"/>
    <w:rsid w:val="642D5C37"/>
    <w:rsid w:val="64955780"/>
    <w:rsid w:val="649AEAE7"/>
    <w:rsid w:val="64B5A9E7"/>
    <w:rsid w:val="64F24105"/>
    <w:rsid w:val="6511D2CA"/>
    <w:rsid w:val="65ED0B6C"/>
    <w:rsid w:val="6604D208"/>
    <w:rsid w:val="661E432C"/>
    <w:rsid w:val="663F2D3C"/>
    <w:rsid w:val="665E5DCD"/>
    <w:rsid w:val="668F2D6E"/>
    <w:rsid w:val="678A9BA1"/>
    <w:rsid w:val="6797B301"/>
    <w:rsid w:val="67A792E0"/>
    <w:rsid w:val="67A83F9C"/>
    <w:rsid w:val="67B3C90E"/>
    <w:rsid w:val="67DB3DC1"/>
    <w:rsid w:val="67F53E60"/>
    <w:rsid w:val="68083B43"/>
    <w:rsid w:val="6850F77A"/>
    <w:rsid w:val="68683DB2"/>
    <w:rsid w:val="68B7D190"/>
    <w:rsid w:val="695E1896"/>
    <w:rsid w:val="696BF22C"/>
    <w:rsid w:val="69D666F6"/>
    <w:rsid w:val="69E54A81"/>
    <w:rsid w:val="6A0165F5"/>
    <w:rsid w:val="6A5F9B15"/>
    <w:rsid w:val="6A92D669"/>
    <w:rsid w:val="6A9B523F"/>
    <w:rsid w:val="6AC5FB09"/>
    <w:rsid w:val="6AD0A6A4"/>
    <w:rsid w:val="6B32A3D1"/>
    <w:rsid w:val="6BB908BD"/>
    <w:rsid w:val="6BBF2165"/>
    <w:rsid w:val="6C0122FC"/>
    <w:rsid w:val="6C7AD222"/>
    <w:rsid w:val="6C8F2D93"/>
    <w:rsid w:val="6CA63E25"/>
    <w:rsid w:val="6CBAFD20"/>
    <w:rsid w:val="6D3AC7D1"/>
    <w:rsid w:val="6D9EC825"/>
    <w:rsid w:val="6DA63B15"/>
    <w:rsid w:val="6DC30073"/>
    <w:rsid w:val="6DD205D1"/>
    <w:rsid w:val="6DFFB58E"/>
    <w:rsid w:val="6E8BB2CA"/>
    <w:rsid w:val="6E8E7A15"/>
    <w:rsid w:val="6EB72179"/>
    <w:rsid w:val="6F149EB5"/>
    <w:rsid w:val="6F63CB1A"/>
    <w:rsid w:val="6F66973D"/>
    <w:rsid w:val="6FB78CB7"/>
    <w:rsid w:val="6FD897C2"/>
    <w:rsid w:val="6FF994E2"/>
    <w:rsid w:val="704E3684"/>
    <w:rsid w:val="7087D24A"/>
    <w:rsid w:val="7087E750"/>
    <w:rsid w:val="70954E7B"/>
    <w:rsid w:val="713B9581"/>
    <w:rsid w:val="71AD89F2"/>
    <w:rsid w:val="723C00BF"/>
    <w:rsid w:val="723D6C1D"/>
    <w:rsid w:val="724A2594"/>
    <w:rsid w:val="728EB6E1"/>
    <w:rsid w:val="72920ED6"/>
    <w:rsid w:val="7295BD5B"/>
    <w:rsid w:val="72B87980"/>
    <w:rsid w:val="72E9BF6E"/>
    <w:rsid w:val="72FABB84"/>
    <w:rsid w:val="7327C7C8"/>
    <w:rsid w:val="73AA6C72"/>
    <w:rsid w:val="73F8110B"/>
    <w:rsid w:val="7434E191"/>
    <w:rsid w:val="7465FCA7"/>
    <w:rsid w:val="74A20B3E"/>
    <w:rsid w:val="74AA8EEE"/>
    <w:rsid w:val="753DA429"/>
    <w:rsid w:val="75509360"/>
    <w:rsid w:val="7588E993"/>
    <w:rsid w:val="75A8D17D"/>
    <w:rsid w:val="75D53FE1"/>
    <w:rsid w:val="761D14DB"/>
    <w:rsid w:val="768DA360"/>
    <w:rsid w:val="769C5FAD"/>
    <w:rsid w:val="76B9D2C2"/>
    <w:rsid w:val="772DA29E"/>
    <w:rsid w:val="776F34F6"/>
    <w:rsid w:val="77879DA2"/>
    <w:rsid w:val="7806617A"/>
    <w:rsid w:val="7816E587"/>
    <w:rsid w:val="781BCF57"/>
    <w:rsid w:val="78297E59"/>
    <w:rsid w:val="783604FF"/>
    <w:rsid w:val="7836FA8A"/>
    <w:rsid w:val="7849A963"/>
    <w:rsid w:val="78730E68"/>
    <w:rsid w:val="787AFBEE"/>
    <w:rsid w:val="79199C33"/>
    <w:rsid w:val="79238FA8"/>
    <w:rsid w:val="7944E1F9"/>
    <w:rsid w:val="79B5056A"/>
    <w:rsid w:val="79D785B0"/>
    <w:rsid w:val="7A2F0C08"/>
    <w:rsid w:val="7A84EEEB"/>
    <w:rsid w:val="7AB37BBF"/>
    <w:rsid w:val="7AC5EBCE"/>
    <w:rsid w:val="7B0B25BF"/>
    <w:rsid w:val="7B26901C"/>
    <w:rsid w:val="7B55E45C"/>
    <w:rsid w:val="7B8B472B"/>
    <w:rsid w:val="7BE44E63"/>
    <w:rsid w:val="7C19F807"/>
    <w:rsid w:val="7C280116"/>
    <w:rsid w:val="7C3ECB93"/>
    <w:rsid w:val="7C681BB7"/>
    <w:rsid w:val="7C86E06A"/>
    <w:rsid w:val="7CC233DD"/>
    <w:rsid w:val="7CF78838"/>
    <w:rsid w:val="7D16B5CC"/>
    <w:rsid w:val="7D190C36"/>
    <w:rsid w:val="7D3EB4A5"/>
    <w:rsid w:val="7D753249"/>
    <w:rsid w:val="7DA91A5B"/>
    <w:rsid w:val="7E11F92D"/>
    <w:rsid w:val="7E2325B6"/>
    <w:rsid w:val="7E2D334D"/>
    <w:rsid w:val="7E84A1E9"/>
    <w:rsid w:val="7EA44A64"/>
    <w:rsid w:val="7ED6938F"/>
    <w:rsid w:val="7ED844AB"/>
    <w:rsid w:val="7EEBD109"/>
    <w:rsid w:val="7F07B45E"/>
    <w:rsid w:val="7F1CD381"/>
    <w:rsid w:val="7F543331"/>
    <w:rsid w:val="7F6D5770"/>
    <w:rsid w:val="7FCB3314"/>
    <w:rsid w:val="7FE32C81"/>
    <w:rsid w:val="7FEBD01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3F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lsdException w:name="heading 5" w:semiHidden="1" w:uiPriority="6" w:unhideWhenUsed="1" w:qFormat="1"/>
    <w:lsdException w:name="heading 6" w:semiHidden="1" w:uiPriority="6" w:unhideWhenUsed="1" w:qFormat="1"/>
    <w:lsdException w:name="heading 7" w:semiHidden="1" w:uiPriority="6" w:unhideWhenUsed="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E40C7"/>
    <w:pPr>
      <w:overflowPunct w:val="0"/>
      <w:autoSpaceDE w:val="0"/>
      <w:autoSpaceDN w:val="0"/>
      <w:adjustRightInd w:val="0"/>
      <w:jc w:val="both"/>
      <w:textAlignment w:val="baseline"/>
    </w:pPr>
    <w:rPr>
      <w:rFonts w:ascii="Arial" w:hAnsi="Arial"/>
      <w:sz w:val="22"/>
    </w:rPr>
  </w:style>
  <w:style w:type="paragraph" w:styleId="Otsikko1">
    <w:name w:val="heading 1"/>
    <w:basedOn w:val="Normaali"/>
    <w:next w:val="LeiptekstiVero"/>
    <w:link w:val="Otsikko1Char"/>
    <w:uiPriority w:val="6"/>
    <w:qFormat/>
    <w:rsid w:val="00E01373"/>
    <w:pPr>
      <w:keepNext/>
      <w:numPr>
        <w:numId w:val="1"/>
      </w:numPr>
      <w:spacing w:before="280" w:after="80"/>
      <w:outlineLvl w:val="0"/>
    </w:pPr>
    <w:rPr>
      <w:rFonts w:eastAsiaTheme="majorEastAsia" w:cs="Arial"/>
      <w:b/>
      <w:bCs/>
      <w:caps/>
      <w:sz w:val="26"/>
    </w:rPr>
  </w:style>
  <w:style w:type="paragraph" w:styleId="Otsikko2">
    <w:name w:val="heading 2"/>
    <w:basedOn w:val="Normaali"/>
    <w:next w:val="LeiptekstiVero"/>
    <w:link w:val="Otsikko2Char"/>
    <w:uiPriority w:val="6"/>
    <w:qFormat/>
    <w:rsid w:val="00E01373"/>
    <w:pPr>
      <w:keepNext/>
      <w:numPr>
        <w:ilvl w:val="1"/>
        <w:numId w:val="3"/>
      </w:numPr>
      <w:spacing w:before="240" w:after="80"/>
      <w:outlineLvl w:val="1"/>
    </w:pPr>
    <w:rPr>
      <w:rFonts w:eastAsiaTheme="majorEastAsia" w:cstheme="majorBidi"/>
      <w:b/>
      <w:sz w:val="26"/>
    </w:rPr>
  </w:style>
  <w:style w:type="paragraph" w:styleId="Otsikko3">
    <w:name w:val="heading 3"/>
    <w:basedOn w:val="Normaali"/>
    <w:next w:val="LeiptekstiVero"/>
    <w:link w:val="Otsikko3Char"/>
    <w:uiPriority w:val="6"/>
    <w:qFormat/>
    <w:rsid w:val="00E01373"/>
    <w:pPr>
      <w:keepNext/>
      <w:numPr>
        <w:ilvl w:val="2"/>
        <w:numId w:val="3"/>
      </w:numPr>
      <w:spacing w:before="240" w:after="80"/>
      <w:outlineLvl w:val="2"/>
    </w:pPr>
    <w:rPr>
      <w:rFonts w:eastAsiaTheme="majorEastAsia" w:cstheme="majorBidi"/>
      <w:b/>
      <w:bCs/>
    </w:rPr>
  </w:style>
  <w:style w:type="paragraph" w:styleId="Otsikko4">
    <w:name w:val="heading 4"/>
    <w:basedOn w:val="Normaali"/>
    <w:next w:val="LeiptekstiVero"/>
    <w:link w:val="Otsikko4Char"/>
    <w:uiPriority w:val="6"/>
    <w:semiHidden/>
    <w:unhideWhenUsed/>
    <w:rsid w:val="00E01373"/>
    <w:pPr>
      <w:keepNext/>
      <w:numPr>
        <w:ilvl w:val="3"/>
        <w:numId w:val="3"/>
      </w:numPr>
      <w:spacing w:before="240" w:after="60"/>
      <w:outlineLvl w:val="3"/>
    </w:pPr>
    <w:rPr>
      <w:rFonts w:eastAsiaTheme="majorEastAsia" w:cstheme="majorBidi"/>
    </w:rPr>
  </w:style>
  <w:style w:type="paragraph" w:styleId="Otsikko5">
    <w:name w:val="heading 5"/>
    <w:basedOn w:val="Normaali"/>
    <w:next w:val="LeiptekstiVero"/>
    <w:link w:val="Otsikko5Char"/>
    <w:uiPriority w:val="6"/>
    <w:semiHidden/>
    <w:unhideWhenUsed/>
    <w:qFormat/>
    <w:rsid w:val="00E01373"/>
    <w:pPr>
      <w:numPr>
        <w:ilvl w:val="4"/>
        <w:numId w:val="3"/>
      </w:numPr>
      <w:spacing w:before="240" w:after="60"/>
      <w:outlineLvl w:val="4"/>
    </w:pPr>
    <w:rPr>
      <w:rFonts w:eastAsiaTheme="majorEastAsia" w:cstheme="majorBidi"/>
      <w:i/>
    </w:rPr>
  </w:style>
  <w:style w:type="paragraph" w:styleId="Otsikko6">
    <w:name w:val="heading 6"/>
    <w:basedOn w:val="Normaali"/>
    <w:next w:val="LeiptekstiVero"/>
    <w:link w:val="Otsikko6Char"/>
    <w:uiPriority w:val="6"/>
    <w:semiHidden/>
    <w:unhideWhenUsed/>
    <w:qFormat/>
    <w:rsid w:val="00E01373"/>
    <w:pPr>
      <w:numPr>
        <w:ilvl w:val="5"/>
        <w:numId w:val="3"/>
      </w:numPr>
      <w:tabs>
        <w:tab w:val="left" w:pos="2835"/>
      </w:tabs>
      <w:spacing w:before="240" w:after="60"/>
      <w:outlineLvl w:val="5"/>
    </w:pPr>
    <w:rPr>
      <w:rFonts w:eastAsiaTheme="majorEastAsia" w:cstheme="majorBidi"/>
      <w:sz w:val="20"/>
    </w:rPr>
  </w:style>
  <w:style w:type="paragraph" w:styleId="Otsikko7">
    <w:name w:val="heading 7"/>
    <w:basedOn w:val="Normaali"/>
    <w:next w:val="LeiptekstiVero"/>
    <w:link w:val="Otsikko7Char"/>
    <w:uiPriority w:val="6"/>
    <w:semiHidden/>
    <w:unhideWhenUsed/>
    <w:rsid w:val="00955E69"/>
    <w:pPr>
      <w:numPr>
        <w:ilvl w:val="6"/>
        <w:numId w:val="3"/>
      </w:numPr>
      <w:spacing w:before="240" w:after="60"/>
      <w:outlineLvl w:val="6"/>
    </w:pPr>
    <w:rPr>
      <w:rFonts w:eastAsiaTheme="majorEastAsia" w:cstheme="majorBidi"/>
      <w:sz w:val="20"/>
    </w:rPr>
  </w:style>
  <w:style w:type="paragraph" w:styleId="Otsikko8">
    <w:name w:val="heading 8"/>
    <w:basedOn w:val="Normaali"/>
    <w:next w:val="LeiptekstiVero"/>
    <w:link w:val="Otsikko8Char"/>
    <w:uiPriority w:val="6"/>
    <w:semiHidden/>
    <w:unhideWhenUsed/>
    <w:qFormat/>
    <w:rsid w:val="00E01373"/>
    <w:pPr>
      <w:numPr>
        <w:ilvl w:val="7"/>
        <w:numId w:val="3"/>
      </w:numPr>
      <w:spacing w:before="240" w:after="60"/>
      <w:outlineLvl w:val="7"/>
    </w:pPr>
    <w:rPr>
      <w:rFonts w:eastAsiaTheme="majorEastAsia" w:cstheme="majorBidi"/>
      <w:sz w:val="20"/>
    </w:rPr>
  </w:style>
  <w:style w:type="paragraph" w:styleId="Otsikko9">
    <w:name w:val="heading 9"/>
    <w:basedOn w:val="Normaali"/>
    <w:next w:val="LeiptekstiVero"/>
    <w:link w:val="Otsikko9Char"/>
    <w:uiPriority w:val="6"/>
    <w:semiHidden/>
    <w:unhideWhenUsed/>
    <w:qFormat/>
    <w:rsid w:val="00E01373"/>
    <w:pPr>
      <w:numPr>
        <w:ilvl w:val="8"/>
        <w:numId w:val="3"/>
      </w:numPr>
      <w:spacing w:before="240" w:after="60"/>
      <w:outlineLvl w:val="8"/>
    </w:pPr>
    <w:rPr>
      <w:rFonts w:eastAsiaTheme="majorEastAsia" w:cstheme="majorBidi"/>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6"/>
    <w:rsid w:val="00E01373"/>
    <w:rPr>
      <w:rFonts w:ascii="Arial" w:eastAsiaTheme="majorEastAsia" w:hAnsi="Arial" w:cs="Arial"/>
      <w:b/>
      <w:bCs/>
      <w:caps/>
      <w:sz w:val="26"/>
    </w:rPr>
  </w:style>
  <w:style w:type="character" w:customStyle="1" w:styleId="Otsikko2Char">
    <w:name w:val="Otsikko 2 Char"/>
    <w:basedOn w:val="Kappaleenoletusfontti"/>
    <w:link w:val="Otsikko2"/>
    <w:uiPriority w:val="6"/>
    <w:rsid w:val="00E01373"/>
    <w:rPr>
      <w:rFonts w:ascii="Arial" w:eastAsiaTheme="majorEastAsia" w:hAnsi="Arial" w:cstheme="majorBidi"/>
      <w:b/>
      <w:sz w:val="26"/>
    </w:rPr>
  </w:style>
  <w:style w:type="character" w:customStyle="1" w:styleId="Otsikko3Char">
    <w:name w:val="Otsikko 3 Char"/>
    <w:basedOn w:val="Kappaleenoletusfontti"/>
    <w:link w:val="Otsikko3"/>
    <w:uiPriority w:val="6"/>
    <w:rsid w:val="00E01373"/>
    <w:rPr>
      <w:rFonts w:ascii="Arial" w:eastAsiaTheme="majorEastAsia" w:hAnsi="Arial" w:cstheme="majorBidi"/>
      <w:b/>
      <w:bCs/>
      <w:sz w:val="22"/>
    </w:rPr>
  </w:style>
  <w:style w:type="character" w:customStyle="1" w:styleId="Otsikko4Char">
    <w:name w:val="Otsikko 4 Char"/>
    <w:basedOn w:val="Kappaleenoletusfontti"/>
    <w:link w:val="Otsikko4"/>
    <w:uiPriority w:val="6"/>
    <w:semiHidden/>
    <w:rsid w:val="00B202A2"/>
    <w:rPr>
      <w:rFonts w:ascii="Arial" w:eastAsiaTheme="majorEastAsia" w:hAnsi="Arial" w:cstheme="majorBidi"/>
      <w:sz w:val="22"/>
    </w:rPr>
  </w:style>
  <w:style w:type="character" w:customStyle="1" w:styleId="Otsikko5Char">
    <w:name w:val="Otsikko 5 Char"/>
    <w:basedOn w:val="Kappaleenoletusfontti"/>
    <w:link w:val="Otsikko5"/>
    <w:uiPriority w:val="6"/>
    <w:semiHidden/>
    <w:rsid w:val="003C622E"/>
    <w:rPr>
      <w:rFonts w:ascii="Arial" w:eastAsiaTheme="majorEastAsia" w:hAnsi="Arial" w:cstheme="majorBidi"/>
      <w:i/>
      <w:sz w:val="22"/>
    </w:rPr>
  </w:style>
  <w:style w:type="character" w:customStyle="1" w:styleId="Otsikko6Char">
    <w:name w:val="Otsikko 6 Char"/>
    <w:basedOn w:val="Kappaleenoletusfontti"/>
    <w:link w:val="Otsikko6"/>
    <w:uiPriority w:val="6"/>
    <w:semiHidden/>
    <w:rsid w:val="003C622E"/>
    <w:rPr>
      <w:rFonts w:ascii="Arial" w:eastAsiaTheme="majorEastAsia" w:hAnsi="Arial" w:cstheme="majorBidi"/>
    </w:rPr>
  </w:style>
  <w:style w:type="character" w:customStyle="1" w:styleId="Otsikko7Char">
    <w:name w:val="Otsikko 7 Char"/>
    <w:basedOn w:val="Kappaleenoletusfontti"/>
    <w:link w:val="Otsikko7"/>
    <w:uiPriority w:val="6"/>
    <w:semiHidden/>
    <w:rsid w:val="00955E69"/>
    <w:rPr>
      <w:rFonts w:ascii="Arial" w:eastAsiaTheme="majorEastAsia" w:hAnsi="Arial" w:cstheme="majorBidi"/>
    </w:rPr>
  </w:style>
  <w:style w:type="character" w:customStyle="1" w:styleId="Otsikko8Char">
    <w:name w:val="Otsikko 8 Char"/>
    <w:basedOn w:val="Kappaleenoletusfontti"/>
    <w:link w:val="Otsikko8"/>
    <w:uiPriority w:val="6"/>
    <w:semiHidden/>
    <w:rsid w:val="00E01373"/>
    <w:rPr>
      <w:rFonts w:ascii="Arial" w:eastAsiaTheme="majorEastAsia" w:hAnsi="Arial" w:cstheme="majorBidi"/>
    </w:rPr>
  </w:style>
  <w:style w:type="character" w:customStyle="1" w:styleId="Otsikko9Char">
    <w:name w:val="Otsikko 9 Char"/>
    <w:basedOn w:val="Kappaleenoletusfontti"/>
    <w:link w:val="Otsikko9"/>
    <w:uiPriority w:val="6"/>
    <w:semiHidden/>
    <w:rsid w:val="00E01373"/>
    <w:rPr>
      <w:rFonts w:ascii="Arial" w:eastAsiaTheme="majorEastAsia" w:hAnsi="Arial" w:cstheme="majorBidi"/>
    </w:rPr>
  </w:style>
  <w:style w:type="paragraph" w:customStyle="1" w:styleId="ListaVero">
    <w:name w:val="Lista Vero"/>
    <w:basedOn w:val="LeiptekstiVero"/>
    <w:uiPriority w:val="1"/>
    <w:qFormat/>
    <w:rsid w:val="00E01373"/>
    <w:pPr>
      <w:numPr>
        <w:numId w:val="2"/>
      </w:numPr>
      <w:spacing w:before="0" w:after="0"/>
    </w:pPr>
  </w:style>
  <w:style w:type="paragraph" w:customStyle="1" w:styleId="LeiptekstiVero">
    <w:name w:val="Leipäteksti Vero"/>
    <w:basedOn w:val="Normaali"/>
    <w:link w:val="LeiptekstiVeroChar"/>
    <w:uiPriority w:val="1"/>
    <w:qFormat/>
    <w:rsid w:val="00E01373"/>
    <w:pPr>
      <w:spacing w:before="160" w:after="120"/>
      <w:ind w:left="1701"/>
    </w:pPr>
  </w:style>
  <w:style w:type="paragraph" w:styleId="Kuvaotsikko">
    <w:name w:val="caption"/>
    <w:basedOn w:val="Normaali"/>
    <w:next w:val="Normaali"/>
    <w:uiPriority w:val="35"/>
    <w:semiHidden/>
    <w:unhideWhenUsed/>
    <w:qFormat/>
    <w:rsid w:val="00E01373"/>
    <w:rPr>
      <w:b/>
      <w:bCs/>
      <w:sz w:val="20"/>
    </w:rPr>
  </w:style>
  <w:style w:type="paragraph" w:styleId="Otsikko">
    <w:name w:val="Title"/>
    <w:next w:val="Normaali"/>
    <w:link w:val="OtsikkoChar"/>
    <w:uiPriority w:val="10"/>
    <w:semiHidden/>
    <w:unhideWhenUsed/>
    <w:qFormat/>
    <w:rsid w:val="00E01373"/>
    <w:pPr>
      <w:overflowPunct w:val="0"/>
      <w:autoSpaceDE w:val="0"/>
      <w:autoSpaceDN w:val="0"/>
      <w:adjustRightInd w:val="0"/>
      <w:spacing w:before="240" w:after="60"/>
      <w:jc w:val="center"/>
      <w:textAlignment w:val="baseline"/>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uiPriority w:val="10"/>
    <w:semiHidden/>
    <w:rsid w:val="00E01373"/>
    <w:rPr>
      <w:rFonts w:asciiTheme="majorHAnsi" w:eastAsiaTheme="majorEastAsia" w:hAnsiTheme="majorHAnsi" w:cstheme="majorBidi"/>
      <w:b/>
      <w:bCs/>
      <w:kern w:val="28"/>
      <w:sz w:val="32"/>
      <w:szCs w:val="32"/>
    </w:rPr>
  </w:style>
  <w:style w:type="paragraph" w:styleId="Alaotsikko">
    <w:name w:val="Subtitle"/>
    <w:next w:val="Normaali"/>
    <w:link w:val="AlaotsikkoChar"/>
    <w:uiPriority w:val="11"/>
    <w:semiHidden/>
    <w:unhideWhenUsed/>
    <w:qFormat/>
    <w:rsid w:val="00E01373"/>
    <w:pPr>
      <w:overflowPunct w:val="0"/>
      <w:autoSpaceDE w:val="0"/>
      <w:autoSpaceDN w:val="0"/>
      <w:adjustRightInd w:val="0"/>
      <w:spacing w:after="60"/>
      <w:jc w:val="center"/>
      <w:textAlignment w:val="baseline"/>
      <w:outlineLvl w:val="1"/>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semiHidden/>
    <w:rsid w:val="00E01373"/>
    <w:rPr>
      <w:rFonts w:asciiTheme="majorHAnsi" w:eastAsiaTheme="majorEastAsia" w:hAnsiTheme="majorHAnsi" w:cstheme="majorBidi"/>
      <w:sz w:val="24"/>
      <w:szCs w:val="24"/>
    </w:rPr>
  </w:style>
  <w:style w:type="character" w:styleId="Voimakas">
    <w:name w:val="Strong"/>
    <w:uiPriority w:val="22"/>
    <w:semiHidden/>
    <w:unhideWhenUsed/>
    <w:qFormat/>
    <w:rsid w:val="00E01373"/>
    <w:rPr>
      <w:b/>
      <w:bCs/>
    </w:rPr>
  </w:style>
  <w:style w:type="character" w:styleId="Korostus">
    <w:name w:val="Emphasis"/>
    <w:uiPriority w:val="20"/>
    <w:semiHidden/>
    <w:unhideWhenUsed/>
    <w:qFormat/>
    <w:rsid w:val="00E01373"/>
    <w:rPr>
      <w:i/>
      <w:iCs/>
    </w:rPr>
  </w:style>
  <w:style w:type="paragraph" w:styleId="Eivli">
    <w:name w:val="No Spacing"/>
    <w:basedOn w:val="Normaali"/>
    <w:link w:val="EivliChar"/>
    <w:uiPriority w:val="1"/>
    <w:unhideWhenUsed/>
    <w:qFormat/>
    <w:rsid w:val="00E01373"/>
  </w:style>
  <w:style w:type="paragraph" w:styleId="Luettelokappale">
    <w:name w:val="List Paragraph"/>
    <w:basedOn w:val="Normaali"/>
    <w:uiPriority w:val="34"/>
    <w:unhideWhenUsed/>
    <w:qFormat/>
    <w:rsid w:val="00E01373"/>
    <w:pPr>
      <w:ind w:left="1304"/>
    </w:pPr>
  </w:style>
  <w:style w:type="paragraph" w:styleId="Lainaus">
    <w:name w:val="Quote"/>
    <w:basedOn w:val="Normaali"/>
    <w:next w:val="Normaali"/>
    <w:link w:val="LainausChar"/>
    <w:uiPriority w:val="29"/>
    <w:semiHidden/>
    <w:unhideWhenUsed/>
    <w:qFormat/>
    <w:rsid w:val="00E01373"/>
    <w:rPr>
      <w:i/>
      <w:iCs/>
      <w:color w:val="000000" w:themeColor="text1"/>
    </w:rPr>
  </w:style>
  <w:style w:type="character" w:customStyle="1" w:styleId="LainausChar">
    <w:name w:val="Lainaus Char"/>
    <w:basedOn w:val="Kappaleenoletusfontti"/>
    <w:link w:val="Lainaus"/>
    <w:uiPriority w:val="29"/>
    <w:semiHidden/>
    <w:rsid w:val="00E01373"/>
    <w:rPr>
      <w:rFonts w:ascii="Arial" w:hAnsi="Arial"/>
      <w:i/>
      <w:iCs/>
      <w:color w:val="000000" w:themeColor="text1"/>
      <w:sz w:val="22"/>
    </w:rPr>
  </w:style>
  <w:style w:type="paragraph" w:styleId="Erottuvalainaus">
    <w:name w:val="Intense Quote"/>
    <w:basedOn w:val="Normaali"/>
    <w:next w:val="Normaali"/>
    <w:link w:val="ErottuvalainausChar"/>
    <w:uiPriority w:val="30"/>
    <w:semiHidden/>
    <w:unhideWhenUsed/>
    <w:qFormat/>
    <w:rsid w:val="00E01373"/>
    <w:pPr>
      <w:pBdr>
        <w:bottom w:val="single" w:sz="4" w:space="4" w:color="006600" w:themeColor="accent1"/>
      </w:pBdr>
      <w:spacing w:before="200" w:after="280"/>
      <w:ind w:left="936" w:right="936"/>
    </w:pPr>
    <w:rPr>
      <w:rFonts w:eastAsiaTheme="majorEastAsia" w:cstheme="majorBidi"/>
      <w:b/>
      <w:bCs/>
      <w:i/>
      <w:iCs/>
      <w:color w:val="006600" w:themeColor="accent1"/>
    </w:rPr>
  </w:style>
  <w:style w:type="character" w:customStyle="1" w:styleId="ErottuvalainausChar">
    <w:name w:val="Erottuva lainaus Char"/>
    <w:basedOn w:val="Kappaleenoletusfontti"/>
    <w:link w:val="Erottuvalainaus"/>
    <w:uiPriority w:val="30"/>
    <w:semiHidden/>
    <w:rsid w:val="00E01373"/>
    <w:rPr>
      <w:rFonts w:ascii="Arial" w:eastAsiaTheme="majorEastAsia" w:hAnsi="Arial" w:cstheme="majorBidi"/>
      <w:b/>
      <w:bCs/>
      <w:i/>
      <w:iCs/>
      <w:color w:val="006600" w:themeColor="accent1"/>
      <w:sz w:val="22"/>
    </w:rPr>
  </w:style>
  <w:style w:type="character" w:styleId="Hienovarainenkorostus">
    <w:name w:val="Subtle Emphasis"/>
    <w:uiPriority w:val="19"/>
    <w:semiHidden/>
    <w:unhideWhenUsed/>
    <w:qFormat/>
    <w:rsid w:val="00E01373"/>
    <w:rPr>
      <w:i/>
      <w:iCs/>
      <w:color w:val="808080" w:themeColor="text1" w:themeTint="7F"/>
    </w:rPr>
  </w:style>
  <w:style w:type="character" w:styleId="Voimakaskorostus">
    <w:name w:val="Intense Emphasis"/>
    <w:uiPriority w:val="21"/>
    <w:semiHidden/>
    <w:unhideWhenUsed/>
    <w:qFormat/>
    <w:rsid w:val="00E01373"/>
    <w:rPr>
      <w:b/>
      <w:bCs/>
      <w:i/>
      <w:iCs/>
      <w:color w:val="006600" w:themeColor="accent1"/>
    </w:rPr>
  </w:style>
  <w:style w:type="character" w:styleId="Hienovarainenviittaus">
    <w:name w:val="Subtle Reference"/>
    <w:uiPriority w:val="31"/>
    <w:semiHidden/>
    <w:unhideWhenUsed/>
    <w:qFormat/>
    <w:rsid w:val="00E01373"/>
    <w:rPr>
      <w:smallCaps/>
      <w:color w:val="FF9933" w:themeColor="accent2"/>
      <w:u w:val="single"/>
    </w:rPr>
  </w:style>
  <w:style w:type="character" w:styleId="Erottuvaviittaus">
    <w:name w:val="Intense Reference"/>
    <w:uiPriority w:val="32"/>
    <w:semiHidden/>
    <w:unhideWhenUsed/>
    <w:qFormat/>
    <w:rsid w:val="00E01373"/>
    <w:rPr>
      <w:b/>
      <w:bCs/>
      <w:smallCaps/>
      <w:color w:val="FF9933" w:themeColor="accent2"/>
      <w:spacing w:val="5"/>
      <w:u w:val="single"/>
    </w:rPr>
  </w:style>
  <w:style w:type="character" w:styleId="Kirjannimike">
    <w:name w:val="Book Title"/>
    <w:uiPriority w:val="33"/>
    <w:semiHidden/>
    <w:unhideWhenUsed/>
    <w:qFormat/>
    <w:rsid w:val="00E01373"/>
    <w:rPr>
      <w:b/>
      <w:bCs/>
      <w:smallCaps/>
      <w:spacing w:val="5"/>
    </w:rPr>
  </w:style>
  <w:style w:type="paragraph" w:styleId="Sisllysluettelonotsikko">
    <w:name w:val="TOC Heading"/>
    <w:basedOn w:val="Otsikko1"/>
    <w:next w:val="Normaali"/>
    <w:uiPriority w:val="39"/>
    <w:unhideWhenUsed/>
    <w:qFormat/>
    <w:rsid w:val="00A363F4"/>
    <w:pPr>
      <w:numPr>
        <w:numId w:val="0"/>
      </w:numPr>
      <w:spacing w:before="240" w:after="60"/>
      <w:outlineLvl w:val="9"/>
    </w:pPr>
    <w:rPr>
      <w:rFonts w:cstheme="majorHAnsi"/>
      <w:kern w:val="32"/>
      <w:szCs w:val="32"/>
    </w:rPr>
  </w:style>
  <w:style w:type="paragraph" w:customStyle="1" w:styleId="SisennettyleiptekstiVero">
    <w:name w:val="Sisennetty leipäteksti Vero"/>
    <w:basedOn w:val="LeiptekstiVero"/>
    <w:uiPriority w:val="1"/>
    <w:qFormat/>
    <w:rsid w:val="00334CDE"/>
    <w:pPr>
      <w:ind w:left="2552"/>
    </w:pPr>
    <w:rPr>
      <w:sz w:val="20"/>
    </w:rPr>
  </w:style>
  <w:style w:type="paragraph" w:styleId="Sisluet1">
    <w:name w:val="toc 1"/>
    <w:basedOn w:val="Normaali"/>
    <w:next w:val="Normaali"/>
    <w:autoRedefine/>
    <w:uiPriority w:val="39"/>
    <w:unhideWhenUsed/>
    <w:rsid w:val="00985ACB"/>
    <w:pPr>
      <w:tabs>
        <w:tab w:val="left" w:pos="442"/>
        <w:tab w:val="right" w:leader="dot" w:pos="9628"/>
      </w:tabs>
      <w:spacing w:after="100"/>
    </w:pPr>
  </w:style>
  <w:style w:type="paragraph" w:styleId="Sisluet2">
    <w:name w:val="toc 2"/>
    <w:basedOn w:val="Normaali"/>
    <w:next w:val="Normaali"/>
    <w:autoRedefine/>
    <w:uiPriority w:val="39"/>
    <w:unhideWhenUsed/>
    <w:rsid w:val="00CE40C7"/>
    <w:pPr>
      <w:spacing w:after="100"/>
      <w:ind w:left="221"/>
    </w:pPr>
  </w:style>
  <w:style w:type="paragraph" w:styleId="Sisluet3">
    <w:name w:val="toc 3"/>
    <w:basedOn w:val="Normaali"/>
    <w:next w:val="Normaali"/>
    <w:autoRedefine/>
    <w:uiPriority w:val="39"/>
    <w:unhideWhenUsed/>
    <w:rsid w:val="00CE40C7"/>
    <w:pPr>
      <w:spacing w:after="100"/>
      <w:ind w:left="442"/>
    </w:pPr>
  </w:style>
  <w:style w:type="paragraph" w:styleId="Sisluet4">
    <w:name w:val="toc 4"/>
    <w:basedOn w:val="Normaali"/>
    <w:next w:val="Normaali"/>
    <w:autoRedefine/>
    <w:uiPriority w:val="39"/>
    <w:semiHidden/>
    <w:unhideWhenUsed/>
    <w:rsid w:val="00CE40C7"/>
    <w:pPr>
      <w:spacing w:after="100"/>
      <w:ind w:left="658"/>
    </w:pPr>
  </w:style>
  <w:style w:type="paragraph" w:styleId="Sisluet5">
    <w:name w:val="toc 5"/>
    <w:basedOn w:val="Normaali"/>
    <w:next w:val="Normaali"/>
    <w:autoRedefine/>
    <w:uiPriority w:val="39"/>
    <w:semiHidden/>
    <w:unhideWhenUsed/>
    <w:rsid w:val="00CE40C7"/>
    <w:pPr>
      <w:spacing w:after="100"/>
      <w:ind w:left="879"/>
    </w:pPr>
  </w:style>
  <w:style w:type="paragraph" w:styleId="Sisluet6">
    <w:name w:val="toc 6"/>
    <w:basedOn w:val="Normaali"/>
    <w:next w:val="Normaali"/>
    <w:autoRedefine/>
    <w:uiPriority w:val="39"/>
    <w:semiHidden/>
    <w:unhideWhenUsed/>
    <w:rsid w:val="00CE40C7"/>
    <w:pPr>
      <w:spacing w:after="100"/>
      <w:ind w:left="1100"/>
    </w:pPr>
  </w:style>
  <w:style w:type="paragraph" w:styleId="Sisluet7">
    <w:name w:val="toc 7"/>
    <w:basedOn w:val="Normaali"/>
    <w:next w:val="Normaali"/>
    <w:autoRedefine/>
    <w:uiPriority w:val="39"/>
    <w:semiHidden/>
    <w:unhideWhenUsed/>
    <w:rsid w:val="00CE40C7"/>
    <w:pPr>
      <w:spacing w:after="100"/>
      <w:ind w:left="1321"/>
    </w:pPr>
  </w:style>
  <w:style w:type="paragraph" w:styleId="Sisluet8">
    <w:name w:val="toc 8"/>
    <w:basedOn w:val="Normaali"/>
    <w:next w:val="Normaali"/>
    <w:autoRedefine/>
    <w:uiPriority w:val="39"/>
    <w:semiHidden/>
    <w:unhideWhenUsed/>
    <w:rsid w:val="00CE40C7"/>
    <w:pPr>
      <w:spacing w:after="100"/>
      <w:ind w:left="1542"/>
    </w:pPr>
  </w:style>
  <w:style w:type="paragraph" w:styleId="Sisluet9">
    <w:name w:val="toc 9"/>
    <w:basedOn w:val="Normaali"/>
    <w:next w:val="Normaali"/>
    <w:autoRedefine/>
    <w:uiPriority w:val="39"/>
    <w:semiHidden/>
    <w:unhideWhenUsed/>
    <w:rsid w:val="00CE40C7"/>
    <w:pPr>
      <w:spacing w:after="100"/>
      <w:ind w:left="1758"/>
    </w:pPr>
  </w:style>
  <w:style w:type="paragraph" w:customStyle="1" w:styleId="Esitys-japtstekstiVero">
    <w:name w:val="Esitys- ja päätösteksti Vero"/>
    <w:basedOn w:val="LeiptekstiVero"/>
    <w:uiPriority w:val="3"/>
    <w:rsid w:val="00DB7AFF"/>
    <w:pPr>
      <w:ind w:left="0" w:right="232"/>
    </w:pPr>
  </w:style>
  <w:style w:type="character" w:customStyle="1" w:styleId="EivliChar">
    <w:name w:val="Ei väliä Char"/>
    <w:basedOn w:val="Kappaleenoletusfontti"/>
    <w:link w:val="Eivli"/>
    <w:uiPriority w:val="1"/>
    <w:rsid w:val="00EB1124"/>
    <w:rPr>
      <w:rFonts w:ascii="Arial" w:hAnsi="Arial"/>
      <w:sz w:val="22"/>
    </w:rPr>
  </w:style>
  <w:style w:type="paragraph" w:customStyle="1" w:styleId="paragraph">
    <w:name w:val="paragraph"/>
    <w:basedOn w:val="Normaali"/>
    <w:rsid w:val="00EB1124"/>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ormaltextrun">
    <w:name w:val="normaltextrun"/>
    <w:basedOn w:val="Kappaleenoletusfontti"/>
    <w:rsid w:val="00EB1124"/>
  </w:style>
  <w:style w:type="character" w:customStyle="1" w:styleId="eop">
    <w:name w:val="eop"/>
    <w:basedOn w:val="Kappaleenoletusfontti"/>
    <w:rsid w:val="00EB1124"/>
  </w:style>
  <w:style w:type="character" w:styleId="Hyperlinkki">
    <w:name w:val="Hyperlink"/>
    <w:basedOn w:val="Kappaleenoletusfontti"/>
    <w:uiPriority w:val="99"/>
    <w:unhideWhenUsed/>
    <w:rsid w:val="00EB1124"/>
    <w:rPr>
      <w:color w:val="FF9933" w:themeColor="hyperlink"/>
      <w:u w:val="single"/>
    </w:rPr>
  </w:style>
  <w:style w:type="character" w:styleId="Kommentinviite">
    <w:name w:val="annotation reference"/>
    <w:basedOn w:val="Kappaleenoletusfontti"/>
    <w:uiPriority w:val="99"/>
    <w:semiHidden/>
    <w:unhideWhenUsed/>
    <w:rsid w:val="00431F37"/>
    <w:rPr>
      <w:sz w:val="16"/>
      <w:szCs w:val="16"/>
    </w:rPr>
  </w:style>
  <w:style w:type="paragraph" w:styleId="Kommentinteksti">
    <w:name w:val="annotation text"/>
    <w:basedOn w:val="Normaali"/>
    <w:link w:val="KommentintekstiChar"/>
    <w:uiPriority w:val="99"/>
    <w:semiHidden/>
    <w:unhideWhenUsed/>
    <w:rsid w:val="00431F37"/>
    <w:rPr>
      <w:sz w:val="20"/>
    </w:rPr>
  </w:style>
  <w:style w:type="character" w:customStyle="1" w:styleId="KommentintekstiChar">
    <w:name w:val="Kommentin teksti Char"/>
    <w:basedOn w:val="Kappaleenoletusfontti"/>
    <w:link w:val="Kommentinteksti"/>
    <w:uiPriority w:val="99"/>
    <w:semiHidden/>
    <w:rsid w:val="00431F37"/>
    <w:rPr>
      <w:rFonts w:ascii="Arial" w:hAnsi="Arial"/>
    </w:rPr>
  </w:style>
  <w:style w:type="paragraph" w:styleId="Kommentinotsikko">
    <w:name w:val="annotation subject"/>
    <w:basedOn w:val="Kommentinteksti"/>
    <w:next w:val="Kommentinteksti"/>
    <w:link w:val="KommentinotsikkoChar"/>
    <w:uiPriority w:val="99"/>
    <w:semiHidden/>
    <w:unhideWhenUsed/>
    <w:rsid w:val="00431F37"/>
    <w:rPr>
      <w:b/>
      <w:bCs/>
    </w:rPr>
  </w:style>
  <w:style w:type="character" w:customStyle="1" w:styleId="KommentinotsikkoChar">
    <w:name w:val="Kommentin otsikko Char"/>
    <w:basedOn w:val="KommentintekstiChar"/>
    <w:link w:val="Kommentinotsikko"/>
    <w:uiPriority w:val="99"/>
    <w:semiHidden/>
    <w:rsid w:val="00431F37"/>
    <w:rPr>
      <w:rFonts w:ascii="Arial" w:hAnsi="Arial"/>
      <w:b/>
      <w:bCs/>
    </w:rPr>
  </w:style>
  <w:style w:type="table" w:styleId="TaulukkoRuudukko">
    <w:name w:val="Table Grid"/>
    <w:basedOn w:val="Normaalitaulukko"/>
    <w:uiPriority w:val="59"/>
    <w:rsid w:val="003004DE"/>
    <w:pPr>
      <w:ind w:left="170" w:hanging="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452C76"/>
    <w:pPr>
      <w:tabs>
        <w:tab w:val="center" w:pos="4819"/>
        <w:tab w:val="right" w:pos="9638"/>
      </w:tabs>
    </w:pPr>
  </w:style>
  <w:style w:type="character" w:customStyle="1" w:styleId="YltunnisteChar">
    <w:name w:val="Ylätunniste Char"/>
    <w:basedOn w:val="Kappaleenoletusfontti"/>
    <w:link w:val="Yltunniste"/>
    <w:uiPriority w:val="99"/>
    <w:rsid w:val="00452C76"/>
    <w:rPr>
      <w:rFonts w:ascii="Arial" w:hAnsi="Arial"/>
      <w:sz w:val="22"/>
    </w:rPr>
  </w:style>
  <w:style w:type="paragraph" w:styleId="Alatunniste">
    <w:name w:val="footer"/>
    <w:basedOn w:val="Normaali"/>
    <w:link w:val="AlatunnisteChar"/>
    <w:uiPriority w:val="99"/>
    <w:unhideWhenUsed/>
    <w:rsid w:val="00452C76"/>
    <w:pPr>
      <w:tabs>
        <w:tab w:val="center" w:pos="4819"/>
        <w:tab w:val="right" w:pos="9638"/>
      </w:tabs>
    </w:pPr>
  </w:style>
  <w:style w:type="character" w:customStyle="1" w:styleId="AlatunnisteChar">
    <w:name w:val="Alatunniste Char"/>
    <w:basedOn w:val="Kappaleenoletusfontti"/>
    <w:link w:val="Alatunniste"/>
    <w:uiPriority w:val="99"/>
    <w:rsid w:val="00452C76"/>
    <w:rPr>
      <w:rFonts w:ascii="Arial" w:hAnsi="Arial"/>
      <w:sz w:val="22"/>
    </w:rPr>
  </w:style>
  <w:style w:type="character" w:customStyle="1" w:styleId="spellingerror">
    <w:name w:val="spellingerror"/>
    <w:basedOn w:val="Kappaleenoletusfontti"/>
    <w:rsid w:val="00AC5192"/>
  </w:style>
  <w:style w:type="character" w:styleId="Ratkaisematonmaininta">
    <w:name w:val="Unresolved Mention"/>
    <w:basedOn w:val="Kappaleenoletusfontti"/>
    <w:uiPriority w:val="99"/>
    <w:semiHidden/>
    <w:unhideWhenUsed/>
    <w:rsid w:val="00397F92"/>
    <w:rPr>
      <w:color w:val="605E5C"/>
      <w:shd w:val="clear" w:color="auto" w:fill="E1DFDD"/>
    </w:rPr>
  </w:style>
  <w:style w:type="character" w:styleId="AvattuHyperlinkki">
    <w:name w:val="FollowedHyperlink"/>
    <w:basedOn w:val="Kappaleenoletusfontti"/>
    <w:uiPriority w:val="99"/>
    <w:semiHidden/>
    <w:unhideWhenUsed/>
    <w:rsid w:val="00557A68"/>
    <w:rPr>
      <w:color w:val="FFCC99" w:themeColor="followedHyperlink"/>
      <w:u w:val="single"/>
    </w:rPr>
  </w:style>
  <w:style w:type="character" w:customStyle="1" w:styleId="LeiptekstiVeroChar">
    <w:name w:val="Leipäteksti Vero Char"/>
    <w:link w:val="LeiptekstiVero"/>
    <w:rsid w:val="003B4BF1"/>
    <w:rPr>
      <w:rFonts w:ascii="Arial" w:hAnsi="Arial"/>
      <w:sz w:val="22"/>
    </w:rPr>
  </w:style>
  <w:style w:type="character" w:styleId="Maininta">
    <w:name w:val="Mention"/>
    <w:basedOn w:val="Kappaleenoletusfontti"/>
    <w:uiPriority w:val="99"/>
    <w:unhideWhenUsed/>
    <w:rsid w:val="00C422E8"/>
    <w:rPr>
      <w:color w:val="2B579A"/>
      <w:shd w:val="clear" w:color="auto" w:fill="E6E6E6"/>
    </w:rPr>
  </w:style>
  <w:style w:type="table" w:customStyle="1" w:styleId="TaulukkoRuudukko1">
    <w:name w:val="Taulukko Ruudukko1"/>
    <w:basedOn w:val="Normaalitaulukko"/>
    <w:next w:val="TaulukkoRuudukko"/>
    <w:uiPriority w:val="59"/>
    <w:rsid w:val="002E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985AC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50011">
      <w:bodyDiv w:val="1"/>
      <w:marLeft w:val="0"/>
      <w:marRight w:val="0"/>
      <w:marTop w:val="0"/>
      <w:marBottom w:val="0"/>
      <w:divBdr>
        <w:top w:val="none" w:sz="0" w:space="0" w:color="auto"/>
        <w:left w:val="none" w:sz="0" w:space="0" w:color="auto"/>
        <w:bottom w:val="none" w:sz="0" w:space="0" w:color="auto"/>
        <w:right w:val="none" w:sz="0" w:space="0" w:color="auto"/>
      </w:divBdr>
    </w:div>
    <w:div w:id="1019504425">
      <w:bodyDiv w:val="1"/>
      <w:marLeft w:val="0"/>
      <w:marRight w:val="0"/>
      <w:marTop w:val="0"/>
      <w:marBottom w:val="0"/>
      <w:divBdr>
        <w:top w:val="none" w:sz="0" w:space="0" w:color="auto"/>
        <w:left w:val="none" w:sz="0" w:space="0" w:color="auto"/>
        <w:bottom w:val="none" w:sz="0" w:space="0" w:color="auto"/>
        <w:right w:val="none" w:sz="0" w:space="0" w:color="auto"/>
      </w:divBdr>
    </w:div>
    <w:div w:id="1068108841">
      <w:bodyDiv w:val="1"/>
      <w:marLeft w:val="0"/>
      <w:marRight w:val="0"/>
      <w:marTop w:val="0"/>
      <w:marBottom w:val="0"/>
      <w:divBdr>
        <w:top w:val="none" w:sz="0" w:space="0" w:color="auto"/>
        <w:left w:val="none" w:sz="0" w:space="0" w:color="auto"/>
        <w:bottom w:val="none" w:sz="0" w:space="0" w:color="auto"/>
        <w:right w:val="none" w:sz="0" w:space="0" w:color="auto"/>
      </w:divBdr>
    </w:div>
    <w:div w:id="1402555806">
      <w:bodyDiv w:val="1"/>
      <w:marLeft w:val="0"/>
      <w:marRight w:val="0"/>
      <w:marTop w:val="0"/>
      <w:marBottom w:val="0"/>
      <w:divBdr>
        <w:top w:val="none" w:sz="0" w:space="0" w:color="auto"/>
        <w:left w:val="none" w:sz="0" w:space="0" w:color="auto"/>
        <w:bottom w:val="none" w:sz="0" w:space="0" w:color="auto"/>
        <w:right w:val="none" w:sz="0" w:space="0" w:color="auto"/>
      </w:divBdr>
      <w:divsChild>
        <w:div w:id="859313670">
          <w:marLeft w:val="0"/>
          <w:marRight w:val="0"/>
          <w:marTop w:val="0"/>
          <w:marBottom w:val="0"/>
          <w:divBdr>
            <w:top w:val="none" w:sz="0" w:space="0" w:color="auto"/>
            <w:left w:val="none" w:sz="0" w:space="0" w:color="auto"/>
            <w:bottom w:val="none" w:sz="0" w:space="0" w:color="auto"/>
            <w:right w:val="none" w:sz="0" w:space="0" w:color="auto"/>
          </w:divBdr>
          <w:divsChild>
            <w:div w:id="1303539798">
              <w:marLeft w:val="-75"/>
              <w:marRight w:val="0"/>
              <w:marTop w:val="30"/>
              <w:marBottom w:val="30"/>
              <w:divBdr>
                <w:top w:val="none" w:sz="0" w:space="0" w:color="auto"/>
                <w:left w:val="none" w:sz="0" w:space="0" w:color="auto"/>
                <w:bottom w:val="none" w:sz="0" w:space="0" w:color="auto"/>
                <w:right w:val="none" w:sz="0" w:space="0" w:color="auto"/>
              </w:divBdr>
              <w:divsChild>
                <w:div w:id="41250533">
                  <w:marLeft w:val="0"/>
                  <w:marRight w:val="0"/>
                  <w:marTop w:val="0"/>
                  <w:marBottom w:val="0"/>
                  <w:divBdr>
                    <w:top w:val="none" w:sz="0" w:space="0" w:color="auto"/>
                    <w:left w:val="none" w:sz="0" w:space="0" w:color="auto"/>
                    <w:bottom w:val="none" w:sz="0" w:space="0" w:color="auto"/>
                    <w:right w:val="none" w:sz="0" w:space="0" w:color="auto"/>
                  </w:divBdr>
                  <w:divsChild>
                    <w:div w:id="1222326726">
                      <w:marLeft w:val="0"/>
                      <w:marRight w:val="0"/>
                      <w:marTop w:val="0"/>
                      <w:marBottom w:val="0"/>
                      <w:divBdr>
                        <w:top w:val="none" w:sz="0" w:space="0" w:color="auto"/>
                        <w:left w:val="none" w:sz="0" w:space="0" w:color="auto"/>
                        <w:bottom w:val="none" w:sz="0" w:space="0" w:color="auto"/>
                        <w:right w:val="none" w:sz="0" w:space="0" w:color="auto"/>
                      </w:divBdr>
                    </w:div>
                  </w:divsChild>
                </w:div>
                <w:div w:id="336159586">
                  <w:marLeft w:val="0"/>
                  <w:marRight w:val="0"/>
                  <w:marTop w:val="0"/>
                  <w:marBottom w:val="0"/>
                  <w:divBdr>
                    <w:top w:val="none" w:sz="0" w:space="0" w:color="auto"/>
                    <w:left w:val="none" w:sz="0" w:space="0" w:color="auto"/>
                    <w:bottom w:val="none" w:sz="0" w:space="0" w:color="auto"/>
                    <w:right w:val="none" w:sz="0" w:space="0" w:color="auto"/>
                  </w:divBdr>
                  <w:divsChild>
                    <w:div w:id="333604775">
                      <w:marLeft w:val="0"/>
                      <w:marRight w:val="0"/>
                      <w:marTop w:val="0"/>
                      <w:marBottom w:val="0"/>
                      <w:divBdr>
                        <w:top w:val="none" w:sz="0" w:space="0" w:color="auto"/>
                        <w:left w:val="none" w:sz="0" w:space="0" w:color="auto"/>
                        <w:bottom w:val="none" w:sz="0" w:space="0" w:color="auto"/>
                        <w:right w:val="none" w:sz="0" w:space="0" w:color="auto"/>
                      </w:divBdr>
                    </w:div>
                    <w:div w:id="1261375052">
                      <w:marLeft w:val="0"/>
                      <w:marRight w:val="0"/>
                      <w:marTop w:val="0"/>
                      <w:marBottom w:val="0"/>
                      <w:divBdr>
                        <w:top w:val="none" w:sz="0" w:space="0" w:color="auto"/>
                        <w:left w:val="none" w:sz="0" w:space="0" w:color="auto"/>
                        <w:bottom w:val="none" w:sz="0" w:space="0" w:color="auto"/>
                        <w:right w:val="none" w:sz="0" w:space="0" w:color="auto"/>
                      </w:divBdr>
                    </w:div>
                  </w:divsChild>
                </w:div>
                <w:div w:id="424765713">
                  <w:marLeft w:val="0"/>
                  <w:marRight w:val="0"/>
                  <w:marTop w:val="0"/>
                  <w:marBottom w:val="0"/>
                  <w:divBdr>
                    <w:top w:val="none" w:sz="0" w:space="0" w:color="auto"/>
                    <w:left w:val="none" w:sz="0" w:space="0" w:color="auto"/>
                    <w:bottom w:val="none" w:sz="0" w:space="0" w:color="auto"/>
                    <w:right w:val="none" w:sz="0" w:space="0" w:color="auto"/>
                  </w:divBdr>
                  <w:divsChild>
                    <w:div w:id="1619485650">
                      <w:marLeft w:val="0"/>
                      <w:marRight w:val="0"/>
                      <w:marTop w:val="0"/>
                      <w:marBottom w:val="0"/>
                      <w:divBdr>
                        <w:top w:val="none" w:sz="0" w:space="0" w:color="auto"/>
                        <w:left w:val="none" w:sz="0" w:space="0" w:color="auto"/>
                        <w:bottom w:val="none" w:sz="0" w:space="0" w:color="auto"/>
                        <w:right w:val="none" w:sz="0" w:space="0" w:color="auto"/>
                      </w:divBdr>
                    </w:div>
                  </w:divsChild>
                </w:div>
                <w:div w:id="430470746">
                  <w:marLeft w:val="0"/>
                  <w:marRight w:val="0"/>
                  <w:marTop w:val="0"/>
                  <w:marBottom w:val="0"/>
                  <w:divBdr>
                    <w:top w:val="none" w:sz="0" w:space="0" w:color="auto"/>
                    <w:left w:val="none" w:sz="0" w:space="0" w:color="auto"/>
                    <w:bottom w:val="none" w:sz="0" w:space="0" w:color="auto"/>
                    <w:right w:val="none" w:sz="0" w:space="0" w:color="auto"/>
                  </w:divBdr>
                  <w:divsChild>
                    <w:div w:id="1552615609">
                      <w:marLeft w:val="0"/>
                      <w:marRight w:val="0"/>
                      <w:marTop w:val="0"/>
                      <w:marBottom w:val="0"/>
                      <w:divBdr>
                        <w:top w:val="none" w:sz="0" w:space="0" w:color="auto"/>
                        <w:left w:val="none" w:sz="0" w:space="0" w:color="auto"/>
                        <w:bottom w:val="none" w:sz="0" w:space="0" w:color="auto"/>
                        <w:right w:val="none" w:sz="0" w:space="0" w:color="auto"/>
                      </w:divBdr>
                    </w:div>
                  </w:divsChild>
                </w:div>
                <w:div w:id="474447482">
                  <w:marLeft w:val="0"/>
                  <w:marRight w:val="0"/>
                  <w:marTop w:val="0"/>
                  <w:marBottom w:val="0"/>
                  <w:divBdr>
                    <w:top w:val="none" w:sz="0" w:space="0" w:color="auto"/>
                    <w:left w:val="none" w:sz="0" w:space="0" w:color="auto"/>
                    <w:bottom w:val="none" w:sz="0" w:space="0" w:color="auto"/>
                    <w:right w:val="none" w:sz="0" w:space="0" w:color="auto"/>
                  </w:divBdr>
                  <w:divsChild>
                    <w:div w:id="475031433">
                      <w:marLeft w:val="0"/>
                      <w:marRight w:val="0"/>
                      <w:marTop w:val="0"/>
                      <w:marBottom w:val="0"/>
                      <w:divBdr>
                        <w:top w:val="none" w:sz="0" w:space="0" w:color="auto"/>
                        <w:left w:val="none" w:sz="0" w:space="0" w:color="auto"/>
                        <w:bottom w:val="none" w:sz="0" w:space="0" w:color="auto"/>
                        <w:right w:val="none" w:sz="0" w:space="0" w:color="auto"/>
                      </w:divBdr>
                    </w:div>
                    <w:div w:id="1042679822">
                      <w:marLeft w:val="0"/>
                      <w:marRight w:val="0"/>
                      <w:marTop w:val="0"/>
                      <w:marBottom w:val="0"/>
                      <w:divBdr>
                        <w:top w:val="none" w:sz="0" w:space="0" w:color="auto"/>
                        <w:left w:val="none" w:sz="0" w:space="0" w:color="auto"/>
                        <w:bottom w:val="none" w:sz="0" w:space="0" w:color="auto"/>
                        <w:right w:val="none" w:sz="0" w:space="0" w:color="auto"/>
                      </w:divBdr>
                    </w:div>
                  </w:divsChild>
                </w:div>
                <w:div w:id="480729430">
                  <w:marLeft w:val="0"/>
                  <w:marRight w:val="0"/>
                  <w:marTop w:val="0"/>
                  <w:marBottom w:val="0"/>
                  <w:divBdr>
                    <w:top w:val="none" w:sz="0" w:space="0" w:color="auto"/>
                    <w:left w:val="none" w:sz="0" w:space="0" w:color="auto"/>
                    <w:bottom w:val="none" w:sz="0" w:space="0" w:color="auto"/>
                    <w:right w:val="none" w:sz="0" w:space="0" w:color="auto"/>
                  </w:divBdr>
                  <w:divsChild>
                    <w:div w:id="1269509030">
                      <w:marLeft w:val="0"/>
                      <w:marRight w:val="0"/>
                      <w:marTop w:val="0"/>
                      <w:marBottom w:val="0"/>
                      <w:divBdr>
                        <w:top w:val="none" w:sz="0" w:space="0" w:color="auto"/>
                        <w:left w:val="none" w:sz="0" w:space="0" w:color="auto"/>
                        <w:bottom w:val="none" w:sz="0" w:space="0" w:color="auto"/>
                        <w:right w:val="none" w:sz="0" w:space="0" w:color="auto"/>
                      </w:divBdr>
                    </w:div>
                  </w:divsChild>
                </w:div>
                <w:div w:id="555746022">
                  <w:marLeft w:val="0"/>
                  <w:marRight w:val="0"/>
                  <w:marTop w:val="0"/>
                  <w:marBottom w:val="0"/>
                  <w:divBdr>
                    <w:top w:val="none" w:sz="0" w:space="0" w:color="auto"/>
                    <w:left w:val="none" w:sz="0" w:space="0" w:color="auto"/>
                    <w:bottom w:val="none" w:sz="0" w:space="0" w:color="auto"/>
                    <w:right w:val="none" w:sz="0" w:space="0" w:color="auto"/>
                  </w:divBdr>
                  <w:divsChild>
                    <w:div w:id="1631201287">
                      <w:marLeft w:val="0"/>
                      <w:marRight w:val="0"/>
                      <w:marTop w:val="0"/>
                      <w:marBottom w:val="0"/>
                      <w:divBdr>
                        <w:top w:val="none" w:sz="0" w:space="0" w:color="auto"/>
                        <w:left w:val="none" w:sz="0" w:space="0" w:color="auto"/>
                        <w:bottom w:val="none" w:sz="0" w:space="0" w:color="auto"/>
                        <w:right w:val="none" w:sz="0" w:space="0" w:color="auto"/>
                      </w:divBdr>
                    </w:div>
                    <w:div w:id="2095583795">
                      <w:marLeft w:val="0"/>
                      <w:marRight w:val="0"/>
                      <w:marTop w:val="0"/>
                      <w:marBottom w:val="0"/>
                      <w:divBdr>
                        <w:top w:val="none" w:sz="0" w:space="0" w:color="auto"/>
                        <w:left w:val="none" w:sz="0" w:space="0" w:color="auto"/>
                        <w:bottom w:val="none" w:sz="0" w:space="0" w:color="auto"/>
                        <w:right w:val="none" w:sz="0" w:space="0" w:color="auto"/>
                      </w:divBdr>
                    </w:div>
                  </w:divsChild>
                </w:div>
                <w:div w:id="626400695">
                  <w:marLeft w:val="0"/>
                  <w:marRight w:val="0"/>
                  <w:marTop w:val="0"/>
                  <w:marBottom w:val="0"/>
                  <w:divBdr>
                    <w:top w:val="none" w:sz="0" w:space="0" w:color="auto"/>
                    <w:left w:val="none" w:sz="0" w:space="0" w:color="auto"/>
                    <w:bottom w:val="none" w:sz="0" w:space="0" w:color="auto"/>
                    <w:right w:val="none" w:sz="0" w:space="0" w:color="auto"/>
                  </w:divBdr>
                  <w:divsChild>
                    <w:div w:id="1919897433">
                      <w:marLeft w:val="0"/>
                      <w:marRight w:val="0"/>
                      <w:marTop w:val="0"/>
                      <w:marBottom w:val="0"/>
                      <w:divBdr>
                        <w:top w:val="none" w:sz="0" w:space="0" w:color="auto"/>
                        <w:left w:val="none" w:sz="0" w:space="0" w:color="auto"/>
                        <w:bottom w:val="none" w:sz="0" w:space="0" w:color="auto"/>
                        <w:right w:val="none" w:sz="0" w:space="0" w:color="auto"/>
                      </w:divBdr>
                    </w:div>
                  </w:divsChild>
                </w:div>
                <w:div w:id="708727861">
                  <w:marLeft w:val="0"/>
                  <w:marRight w:val="0"/>
                  <w:marTop w:val="0"/>
                  <w:marBottom w:val="0"/>
                  <w:divBdr>
                    <w:top w:val="none" w:sz="0" w:space="0" w:color="auto"/>
                    <w:left w:val="none" w:sz="0" w:space="0" w:color="auto"/>
                    <w:bottom w:val="none" w:sz="0" w:space="0" w:color="auto"/>
                    <w:right w:val="none" w:sz="0" w:space="0" w:color="auto"/>
                  </w:divBdr>
                  <w:divsChild>
                    <w:div w:id="1653019361">
                      <w:marLeft w:val="0"/>
                      <w:marRight w:val="0"/>
                      <w:marTop w:val="0"/>
                      <w:marBottom w:val="0"/>
                      <w:divBdr>
                        <w:top w:val="none" w:sz="0" w:space="0" w:color="auto"/>
                        <w:left w:val="none" w:sz="0" w:space="0" w:color="auto"/>
                        <w:bottom w:val="none" w:sz="0" w:space="0" w:color="auto"/>
                        <w:right w:val="none" w:sz="0" w:space="0" w:color="auto"/>
                      </w:divBdr>
                    </w:div>
                    <w:div w:id="1989090470">
                      <w:marLeft w:val="0"/>
                      <w:marRight w:val="0"/>
                      <w:marTop w:val="0"/>
                      <w:marBottom w:val="0"/>
                      <w:divBdr>
                        <w:top w:val="none" w:sz="0" w:space="0" w:color="auto"/>
                        <w:left w:val="none" w:sz="0" w:space="0" w:color="auto"/>
                        <w:bottom w:val="none" w:sz="0" w:space="0" w:color="auto"/>
                        <w:right w:val="none" w:sz="0" w:space="0" w:color="auto"/>
                      </w:divBdr>
                    </w:div>
                  </w:divsChild>
                </w:div>
                <w:div w:id="1196965982">
                  <w:marLeft w:val="0"/>
                  <w:marRight w:val="0"/>
                  <w:marTop w:val="0"/>
                  <w:marBottom w:val="0"/>
                  <w:divBdr>
                    <w:top w:val="none" w:sz="0" w:space="0" w:color="auto"/>
                    <w:left w:val="none" w:sz="0" w:space="0" w:color="auto"/>
                    <w:bottom w:val="none" w:sz="0" w:space="0" w:color="auto"/>
                    <w:right w:val="none" w:sz="0" w:space="0" w:color="auto"/>
                  </w:divBdr>
                  <w:divsChild>
                    <w:div w:id="670525125">
                      <w:marLeft w:val="0"/>
                      <w:marRight w:val="0"/>
                      <w:marTop w:val="0"/>
                      <w:marBottom w:val="0"/>
                      <w:divBdr>
                        <w:top w:val="none" w:sz="0" w:space="0" w:color="auto"/>
                        <w:left w:val="none" w:sz="0" w:space="0" w:color="auto"/>
                        <w:bottom w:val="none" w:sz="0" w:space="0" w:color="auto"/>
                        <w:right w:val="none" w:sz="0" w:space="0" w:color="auto"/>
                      </w:divBdr>
                    </w:div>
                  </w:divsChild>
                </w:div>
                <w:div w:id="1708674725">
                  <w:marLeft w:val="0"/>
                  <w:marRight w:val="0"/>
                  <w:marTop w:val="0"/>
                  <w:marBottom w:val="0"/>
                  <w:divBdr>
                    <w:top w:val="none" w:sz="0" w:space="0" w:color="auto"/>
                    <w:left w:val="none" w:sz="0" w:space="0" w:color="auto"/>
                    <w:bottom w:val="none" w:sz="0" w:space="0" w:color="auto"/>
                    <w:right w:val="none" w:sz="0" w:space="0" w:color="auto"/>
                  </w:divBdr>
                  <w:divsChild>
                    <w:div w:id="40175339">
                      <w:marLeft w:val="0"/>
                      <w:marRight w:val="0"/>
                      <w:marTop w:val="0"/>
                      <w:marBottom w:val="0"/>
                      <w:divBdr>
                        <w:top w:val="none" w:sz="0" w:space="0" w:color="auto"/>
                        <w:left w:val="none" w:sz="0" w:space="0" w:color="auto"/>
                        <w:bottom w:val="none" w:sz="0" w:space="0" w:color="auto"/>
                        <w:right w:val="none" w:sz="0" w:space="0" w:color="auto"/>
                      </w:divBdr>
                    </w:div>
                  </w:divsChild>
                </w:div>
                <w:div w:id="1785923954">
                  <w:marLeft w:val="0"/>
                  <w:marRight w:val="0"/>
                  <w:marTop w:val="0"/>
                  <w:marBottom w:val="0"/>
                  <w:divBdr>
                    <w:top w:val="none" w:sz="0" w:space="0" w:color="auto"/>
                    <w:left w:val="none" w:sz="0" w:space="0" w:color="auto"/>
                    <w:bottom w:val="none" w:sz="0" w:space="0" w:color="auto"/>
                    <w:right w:val="none" w:sz="0" w:space="0" w:color="auto"/>
                  </w:divBdr>
                  <w:divsChild>
                    <w:div w:id="932665783">
                      <w:marLeft w:val="0"/>
                      <w:marRight w:val="0"/>
                      <w:marTop w:val="0"/>
                      <w:marBottom w:val="0"/>
                      <w:divBdr>
                        <w:top w:val="none" w:sz="0" w:space="0" w:color="auto"/>
                        <w:left w:val="none" w:sz="0" w:space="0" w:color="auto"/>
                        <w:bottom w:val="none" w:sz="0" w:space="0" w:color="auto"/>
                        <w:right w:val="none" w:sz="0" w:space="0" w:color="auto"/>
                      </w:divBdr>
                    </w:div>
                  </w:divsChild>
                </w:div>
                <w:div w:id="1923559042">
                  <w:marLeft w:val="0"/>
                  <w:marRight w:val="0"/>
                  <w:marTop w:val="0"/>
                  <w:marBottom w:val="0"/>
                  <w:divBdr>
                    <w:top w:val="none" w:sz="0" w:space="0" w:color="auto"/>
                    <w:left w:val="none" w:sz="0" w:space="0" w:color="auto"/>
                    <w:bottom w:val="none" w:sz="0" w:space="0" w:color="auto"/>
                    <w:right w:val="none" w:sz="0" w:space="0" w:color="auto"/>
                  </w:divBdr>
                  <w:divsChild>
                    <w:div w:id="334191138">
                      <w:marLeft w:val="0"/>
                      <w:marRight w:val="0"/>
                      <w:marTop w:val="0"/>
                      <w:marBottom w:val="0"/>
                      <w:divBdr>
                        <w:top w:val="none" w:sz="0" w:space="0" w:color="auto"/>
                        <w:left w:val="none" w:sz="0" w:space="0" w:color="auto"/>
                        <w:bottom w:val="none" w:sz="0" w:space="0" w:color="auto"/>
                        <w:right w:val="none" w:sz="0" w:space="0" w:color="auto"/>
                      </w:divBdr>
                    </w:div>
                  </w:divsChild>
                </w:div>
                <w:div w:id="2129926809">
                  <w:marLeft w:val="0"/>
                  <w:marRight w:val="0"/>
                  <w:marTop w:val="0"/>
                  <w:marBottom w:val="0"/>
                  <w:divBdr>
                    <w:top w:val="none" w:sz="0" w:space="0" w:color="auto"/>
                    <w:left w:val="none" w:sz="0" w:space="0" w:color="auto"/>
                    <w:bottom w:val="none" w:sz="0" w:space="0" w:color="auto"/>
                    <w:right w:val="none" w:sz="0" w:space="0" w:color="auto"/>
                  </w:divBdr>
                  <w:divsChild>
                    <w:div w:id="20349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52143">
          <w:marLeft w:val="0"/>
          <w:marRight w:val="0"/>
          <w:marTop w:val="0"/>
          <w:marBottom w:val="0"/>
          <w:divBdr>
            <w:top w:val="none" w:sz="0" w:space="0" w:color="auto"/>
            <w:left w:val="none" w:sz="0" w:space="0" w:color="auto"/>
            <w:bottom w:val="none" w:sz="0" w:space="0" w:color="auto"/>
            <w:right w:val="none" w:sz="0" w:space="0" w:color="auto"/>
          </w:divBdr>
        </w:div>
        <w:div w:id="1589848500">
          <w:marLeft w:val="0"/>
          <w:marRight w:val="0"/>
          <w:marTop w:val="0"/>
          <w:marBottom w:val="0"/>
          <w:divBdr>
            <w:top w:val="none" w:sz="0" w:space="0" w:color="auto"/>
            <w:left w:val="none" w:sz="0" w:space="0" w:color="auto"/>
            <w:bottom w:val="none" w:sz="0" w:space="0" w:color="auto"/>
            <w:right w:val="none" w:sz="0" w:space="0" w:color="auto"/>
          </w:divBdr>
        </w:div>
        <w:div w:id="1606770657">
          <w:marLeft w:val="0"/>
          <w:marRight w:val="0"/>
          <w:marTop w:val="0"/>
          <w:marBottom w:val="0"/>
          <w:divBdr>
            <w:top w:val="none" w:sz="0" w:space="0" w:color="auto"/>
            <w:left w:val="none" w:sz="0" w:space="0" w:color="auto"/>
            <w:bottom w:val="none" w:sz="0" w:space="0" w:color="auto"/>
            <w:right w:val="none" w:sz="0" w:space="0" w:color="auto"/>
          </w:divBdr>
        </w:div>
        <w:div w:id="2116364702">
          <w:marLeft w:val="0"/>
          <w:marRight w:val="0"/>
          <w:marTop w:val="0"/>
          <w:marBottom w:val="0"/>
          <w:divBdr>
            <w:top w:val="none" w:sz="0" w:space="0" w:color="auto"/>
            <w:left w:val="none" w:sz="0" w:space="0" w:color="auto"/>
            <w:bottom w:val="none" w:sz="0" w:space="0" w:color="auto"/>
            <w:right w:val="none" w:sz="0" w:space="0" w:color="auto"/>
          </w:divBdr>
        </w:div>
      </w:divsChild>
    </w:div>
    <w:div w:id="1428967445">
      <w:bodyDiv w:val="1"/>
      <w:marLeft w:val="0"/>
      <w:marRight w:val="0"/>
      <w:marTop w:val="0"/>
      <w:marBottom w:val="0"/>
      <w:divBdr>
        <w:top w:val="none" w:sz="0" w:space="0" w:color="auto"/>
        <w:left w:val="none" w:sz="0" w:space="0" w:color="auto"/>
        <w:bottom w:val="none" w:sz="0" w:space="0" w:color="auto"/>
        <w:right w:val="none" w:sz="0" w:space="0" w:color="auto"/>
      </w:divBdr>
    </w:div>
    <w:div w:id="1525441212">
      <w:bodyDiv w:val="1"/>
      <w:marLeft w:val="0"/>
      <w:marRight w:val="0"/>
      <w:marTop w:val="0"/>
      <w:marBottom w:val="0"/>
      <w:divBdr>
        <w:top w:val="none" w:sz="0" w:space="0" w:color="auto"/>
        <w:left w:val="none" w:sz="0" w:space="0" w:color="auto"/>
        <w:bottom w:val="none" w:sz="0" w:space="0" w:color="auto"/>
        <w:right w:val="none" w:sz="0" w:space="0" w:color="auto"/>
      </w:divBdr>
    </w:div>
    <w:div w:id="1527251475">
      <w:bodyDiv w:val="1"/>
      <w:marLeft w:val="0"/>
      <w:marRight w:val="0"/>
      <w:marTop w:val="0"/>
      <w:marBottom w:val="0"/>
      <w:divBdr>
        <w:top w:val="none" w:sz="0" w:space="0" w:color="auto"/>
        <w:left w:val="none" w:sz="0" w:space="0" w:color="auto"/>
        <w:bottom w:val="none" w:sz="0" w:space="0" w:color="auto"/>
        <w:right w:val="none" w:sz="0" w:space="0" w:color="auto"/>
      </w:divBdr>
    </w:div>
    <w:div w:id="1780879267">
      <w:bodyDiv w:val="1"/>
      <w:marLeft w:val="0"/>
      <w:marRight w:val="0"/>
      <w:marTop w:val="0"/>
      <w:marBottom w:val="0"/>
      <w:divBdr>
        <w:top w:val="none" w:sz="0" w:space="0" w:color="auto"/>
        <w:left w:val="none" w:sz="0" w:space="0" w:color="auto"/>
        <w:bottom w:val="none" w:sz="0" w:space="0" w:color="auto"/>
        <w:right w:val="none" w:sz="0" w:space="0" w:color="auto"/>
      </w:divBdr>
    </w:div>
    <w:div w:id="190101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rmaa-talous-rikollisuus.fi/" TargetMode="External"/><Relationship Id="rId5" Type="http://schemas.openxmlformats.org/officeDocument/2006/relationships/settings" Target="settings.xml"/><Relationship Id="rId10" Type="http://schemas.openxmlformats.org/officeDocument/2006/relationships/hyperlink" Target="https://vero.fi/tietoa-verohallinnosta/verohallinnon_esittely/toiminta/vastuullisuus/verohallinnon_tulosohjausasiakirja/" TargetMode="External"/><Relationship Id="rId4" Type="http://schemas.openxmlformats.org/officeDocument/2006/relationships/styles" Target="styles.xml"/><Relationship Id="rId9" Type="http://schemas.openxmlformats.org/officeDocument/2006/relationships/hyperlink" Target="https://www.eduskunta.fi/FI/vaski/HallituksenEsitys/Sivut/HE_73+2022.aspx"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Verohallinto">
      <a:dk1>
        <a:srgbClr val="000000"/>
      </a:dk1>
      <a:lt1>
        <a:srgbClr val="FFFFFF"/>
      </a:lt1>
      <a:dk2>
        <a:srgbClr val="006600"/>
      </a:dk2>
      <a:lt2>
        <a:srgbClr val="E5EFE5"/>
      </a:lt2>
      <a:accent1>
        <a:srgbClr val="006600"/>
      </a:accent1>
      <a:accent2>
        <a:srgbClr val="FF9933"/>
      </a:accent2>
      <a:accent3>
        <a:srgbClr val="FFFFFF"/>
      </a:accent3>
      <a:accent4>
        <a:srgbClr val="000000"/>
      </a:accent4>
      <a:accent5>
        <a:srgbClr val="66A366"/>
      </a:accent5>
      <a:accent6>
        <a:srgbClr val="FFCC99"/>
      </a:accent6>
      <a:hlink>
        <a:srgbClr val="FF9933"/>
      </a:hlink>
      <a:folHlink>
        <a:srgbClr val="FFCC99"/>
      </a:folHlink>
    </a:clrScheme>
    <a:fontScheme name="Verohallint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E884D9-296A-4980-93F3-CCD803DF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4923</Words>
  <Characters>39884</Characters>
  <Application>Microsoft Office Word</Application>
  <DocSecurity>0</DocSecurity>
  <Lines>332</Lines>
  <Paragraphs>89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Verohallinnon toiminta- ja taloussuunnitelma 2023-2027</dc:title>
  <dc:subject/>
  <dc:creator/>
  <cp:keywords/>
  <dc:description/>
  <cp:lastModifiedBy/>
  <cp:revision>1</cp:revision>
  <dcterms:created xsi:type="dcterms:W3CDTF">2023-02-07T12:38:00Z</dcterms:created>
  <dcterms:modified xsi:type="dcterms:W3CDTF">2023-02-07T12:41:00Z</dcterms:modified>
</cp:coreProperties>
</file>